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Top 10 Holdings</w:t>
      </w:r>
    </w:p>
    <w:p>
      <w:pPr>
        <w:spacing w:after="100"/>
      </w:pPr>
      <w:r>
        <w:rPr>
          <w:sz w:val="18"/>
          <w:szCs w:val="18"/>
        </w:rPr>
        <w:t xml:space="preserve">Your portfolio is invested in two globally diversified funds providing exposure to over 8,000 companies worldwide. Below are the top 10 underlying holdings: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£2,170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£1,978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Amazon.com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£1,213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£1,085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Alphabet Inc.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£989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Platforms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£734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Tesla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£606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Berkshire Hathaway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£542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 Lilly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JPMorgan Chase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£10,243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Note: Holdings data as of 31 January 2026. Remaining 67.9% is diversified across 7,990+ additional companies globally.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86B36"/>
          <w:sz w:val="24"/>
          <w:szCs w:val="24"/>
        </w:rPr>
        <w:t xml:space="preserve">Adviser Notes</w:t>
      </w:r>
    </w:p>
    <w:p>
      <w:pPr>
        <w:spacing w:after="300"/>
      </w:pPr>
      <w:r>
        <w:rPr>
          <w:sz w:val="18"/>
          <w:szCs w:val="18"/>
        </w:rPr>
        <w:t xml:space="preserve">A ok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da39a3ee5e6b4b0d3255bfef95601890afd8070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2026-02-07T17:15:04.670Z</dcterms:created>
  <dcterms:modified xsi:type="dcterms:W3CDTF">2026-02-07T17:15:04.670Z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