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B34FA" w14:textId="1F30E438" w:rsidR="00714D93" w:rsidRDefault="00FF78AA">
      <w:r w:rsidRPr="00FF78AA">
        <w:rPr>
          <w:b/>
          <w:bCs/>
        </w:rPr>
        <w:t>TITLE:</w:t>
      </w:r>
      <w:r>
        <w:t xml:space="preserve"> PATTERNS OF CHROMATIN ACCESSIBILITY VARIATION DIFFER ACROSS THE </w:t>
      </w:r>
      <w:r>
        <w:rPr>
          <w:i/>
          <w:iCs/>
        </w:rPr>
        <w:t xml:space="preserve">DROSOPHILA </w:t>
      </w:r>
      <w:r>
        <w:t xml:space="preserve">GENOME. </w:t>
      </w:r>
    </w:p>
    <w:p w14:paraId="10AAE45D" w14:textId="77777777" w:rsidR="00FF78AA" w:rsidRDefault="00FF78AA"/>
    <w:p w14:paraId="4E291202" w14:textId="2E0B1817" w:rsidR="00714D93" w:rsidRPr="00B62574" w:rsidRDefault="00FF78AA" w:rsidP="00714D93">
      <w:pPr>
        <w:rPr>
          <w:b/>
          <w:bCs/>
        </w:rPr>
      </w:pPr>
      <w:r>
        <w:rPr>
          <w:b/>
          <w:bCs/>
        </w:rPr>
        <w:t>INTRO</w:t>
      </w:r>
    </w:p>
    <w:p w14:paraId="03A2FEFF" w14:textId="078A4AC2" w:rsidR="00714D93" w:rsidRDefault="00714D93" w:rsidP="00FF78AA">
      <w:r>
        <w:t xml:space="preserve">Gene regulation guides spatiotemporal gene expression throughout development and organismal life. </w:t>
      </w:r>
      <w:r w:rsidR="0011395E">
        <w:t>As such, changes in gene regulation that produce gene expression variation</w:t>
      </w:r>
      <w:r>
        <w:t xml:space="preserve"> often underlie</w:t>
      </w:r>
      <w:r w:rsidR="0011395E">
        <w:t xml:space="preserve"> the evolution of</w:t>
      </w:r>
      <w:r>
        <w:t xml:space="preserve"> </w:t>
      </w:r>
      <w:r w:rsidR="0011395E">
        <w:t xml:space="preserve">higher-order </w:t>
      </w:r>
      <w:r>
        <w:t>phenotypes</w:t>
      </w:r>
      <w:r w:rsidR="0011395E">
        <w:t>,</w:t>
      </w:r>
      <w:r>
        <w:t xml:space="preserve"> such as morphology</w:t>
      </w:r>
      <w:r w:rsidR="0044674A">
        <w:t xml:space="preserve"> and </w:t>
      </w:r>
      <w:r>
        <w:t>behavior</w:t>
      </w:r>
      <w:r w:rsidR="00035CD9">
        <w:t xml:space="preserve"> </w:t>
      </w:r>
      <w:r w:rsidR="00035CD9">
        <w:fldChar w:fldCharType="begin" w:fldLock="1"/>
      </w:r>
      <w:r w:rsidR="00191E96">
        <w:instrText>ADDIN CSL_CITATION {"citationItems":[{"id":"ITEM-1","itemData":{"DOI":"10.1016/j.cell.2008.06.030","ISBN":"1097-4172 (Electronic)","ISSN":"00928674","PMID":"18614008","abstract":"Biologists have long sought to understand which genes and what kinds of changes in their sequences are responsible for the evolution of morphological diversity. Here, I outline eight principles derived from molecular and evolutionary developmental biology and review recent studies of species divergence that have led to a genetic theory of morphological evolution, which states that (1) form evolves largely by altering the expression of functionally conserved proteins, and (2) such changes largely occur through mutations in the cis-regulatory sequences of pleiotropic developmental regulatory loci and of the target genes within the vast networks they control. © 2008 Elsevier Inc. All rights reserved.","author":[{"dropping-particle":"","family":"Carroll","given":"Sean B.","non-dropping-particle":"","parse-names":false,"suffix":""}],"container-title":"Cell","id":"ITEM-1","issued":{"date-parts":[["2008"]]},"title":"Evo-Devo and an Expanding Evolutionary Synthesis: A Genetic Theory of Morphological Evolution","type":"article"},"uris":["http://www.mendeley.com/documents/?uuid=3a780b3d-a9a7-31d8-ba6c-1b688cbbbcba"]},{"id":"ITEM-2","itemData":{"DOI":"10.1111/j.0014-3820.2000.tb00544.x","ISBN":"0014-3820 U6 - ctx_ver=Z39.88-2004&amp;ctx_enc=info%3Aofi%2Fenc%3AUTF-8&amp;rfr_id=info:sid/summon.serialssolutions.com&amp;rft_val_fmt=info:ofi/fmt:kev:mtx:journal&amp;rft.genre=article&amp;rft.atitle=Evolutionary+developmental+biology+and+the+problem+of+variation&amp;rft.jtitle=Evolution%3B+international+journal+of+organic+evolution&amp;rft.au=Stern%2C+D+L&amp;rft.date=2000-08-01&amp;rft.issn=0014-3820&amp;rft.eissn=1558-5646&amp;rft.volume=54&amp;rft.issue=4&amp;rft.spage=1079&amp;rft_id=info:pmid/11005278&amp;rft.externalDocID=11005278 U7 - Journal A","ISSN":"0014-3820","PMID":"11005278","abstract":"One of the oldest problems in evolutionary biology remains largely unsolved. Which mutations generate evolutionarily relevant phenotypic variation? What kinds of molecular changes do they entail? What are the phenotypic magnitudes, frequencies of origin, and pleiotropic effects of such mutations? How is the genome constructed to allow the observed abundance of phenotypic diversity? Historically, the neo-Darwinian synthesizers stressed the predomi-nance of micromutations in evolution, whereas others noted the similarities between some dramatic mutations and evolutionary transitions to argue for macromutationism. Arguments on both sides have been biased by misconceptions of the developmental effects of mutations. For example, the traditional view that mutations of important developmental genes always have large pleiotropic effects can now be seen to be a conclusion drawn from observations of a small class of mutations with dramatic effects. It is possible that some mutations, for example, those in cis-regulatory DNA, have few or no pleiotropic effects and may be the predominant source of morphological evolution. In contrast, mutations causing dramatic phenotypic effects, although superficially similar to hypothesized evolutionary transitions, are unlikely to fairly represent the true path of evolution. Recent developmental studies of gene function provide a new way of conceptualizing and studying variation that contrasts with the traditional genetic view that was incorporated into neo-Darwinian theory and population genetics. This new approach in developmental biology is as important for micro-evolutionary studies as the actual results from recent evolutionary developmental studies. In particular, this approach will assist in the task of identifying the specific mutations generating phenotypic variation and elucidating how they alter gene function. These data will provide the current missing link between molecular and phenotypic variation in natural populations.","author":[{"dropping-particle":"","family":"Stern","given":"David L.","non-dropping-particle":"","parse-names":false,"suffix":""}],"container-title":"Evolution","id":"ITEM-2","issue":"4","issued":{"date-parts":[["2000"]]},"page":"1079-1091","title":"PERSPECTIVE: EVOLUTIONARY DEVELOPMENTAL BIOLOGY AND THE PROBLEM OF VARIATION","type":"article-journal","volume":"54"},"uris":["http://www.mendeley.com/documents/?uuid=372baaa4-b44b-4905-bb18-6f6443b38453"]},{"id":"ITEM-3","itemData":{"DOI":"10.1111/j.1558-5646.2008.00450.x","ISBN":"0014-3820","ISSN":"00143820","PMID":"18616572","abstract":"Is genetic evolution predictable? Evolutionary developmental biologists have argued that, at least for morphological traits, the answer is a resounding yes. Most mutations causing morphological variation are expected to reside in the cis-regulatory, rather than the coding, regions of developmental genes. This \"cis-regulatory hypothesis\" has recently come under attack. In this review, we first describe and critique the arguments that have been proposed in support of the cis-regulatory hypothesis. We then test the empirical support for the cis-regulatory hypothesis with a comprehensive survey of mutations responsible for phenotypic evolution in multicellular organisms. Cis-regulatory mutations currently represent approximately 22% of 331 identified genetic changes although the number of cis-regulatory changes published annually is rapidly increasing. Above the species level, cis-regulatory mutations altering morphology are more common than coding changes. Also, above the species level cis-regulatory mutations predominate for genes not involved in terminal differentiation. These patterns imply that the simple question \"Do coding or cis-regulatory mutations cause more phenotypic evolution?\" hides more interesting phenomena. Evolution in different kinds of populations and over different durations may result in selection of different kinds of mutations. Predicting the genetic basis of evolution requires a comprehensive synthesis of molecular developmental biology and population genetics.","author":[{"dropping-particle":"","family":"Stern","given":"David L.","non-dropping-particle":"","parse-names":false,"suffix":""},{"dropping-particle":"","family":"Orgogozo","given":"Virginie","non-dropping-particle":"","parse-names":false,"suffix":""}],"container-title":"Evolution","id":"ITEM-3","issue":"9","issued":{"date-parts":[["2008"]]},"page":"2155-2177","title":"The loci of evolution: How predictable is genetic evolution?","type":"article","volume":"62"},"uris":["http://www.mendeley.com/documents/?uuid=a045b1e3-9712-4c92-aba7-0b93874f8e9a"]},{"id":"ITEM-4","itemData":{"DOI":"10.1371/journal.pbio.0030245","ISSN":"1545-7885","abstract":"Emerging knowledge about organismal evolution suggests that changes in the regulation of gene expression have played a major role - a thesis proposed 30 years ago by King and Wilson.","author":[{"dropping-particle":"","family":"Carroll","given":"Sean B","non-dropping-particle":"","parse-names":false,"suffix":""}],"container-title":"PLoS Biology","id":"ITEM-4","issue":"7","issued":{"date-parts":[["2005","7","12"]]},"page":"e245","publisher":"Public Library of Science","title":"Evolution at Two Levels: On Genes and Form","type":"article-journal","volume":"3"},"uris":["http://www.mendeley.com/documents/?uuid=5040f4fa-986b-3760-8354-96eee350ceca"]}],"mendeley":{"formattedCitation":"(Carroll 2008; Stern 2000; Stern and Orgogozo 2008; Carroll 2005)","plainTextFormattedCitation":"(Carroll 2008; Stern 2000; Stern and Orgogozo 2008; Carroll 2005)","previouslyFormattedCitation":"(Carroll 2008; Stern 2000; Stern and Orgogozo 2008; Carroll 2005)"},"properties":{"noteIndex":0},"schema":"https://github.com/citation-style-language/schema/raw/master/csl-citation.json"}</w:instrText>
      </w:r>
      <w:r w:rsidR="00035CD9">
        <w:fldChar w:fldCharType="separate"/>
      </w:r>
      <w:r w:rsidR="00035CD9" w:rsidRPr="00035CD9">
        <w:rPr>
          <w:noProof/>
        </w:rPr>
        <w:t>(Carroll 2008; Stern 2000; Stern and Orgogozo 2008; Carroll 2005)</w:t>
      </w:r>
      <w:r w:rsidR="00035CD9">
        <w:fldChar w:fldCharType="end"/>
      </w:r>
      <w:r>
        <w:t xml:space="preserve">. </w:t>
      </w:r>
      <w:r w:rsidR="00DD0F96">
        <w:t>T</w:t>
      </w:r>
      <w:r w:rsidR="00252457">
        <w:t xml:space="preserve">hese mechanistic changes often take place specifically during transcription activation, during which </w:t>
      </w:r>
      <w:r w:rsidR="00252457">
        <w:rPr>
          <w:i/>
          <w:iCs/>
        </w:rPr>
        <w:t>trans</w:t>
      </w:r>
      <w:r w:rsidR="00252457">
        <w:t>-</w:t>
      </w:r>
      <w:r w:rsidR="00191E96">
        <w:t>factors</w:t>
      </w:r>
      <w:r w:rsidR="00252457">
        <w:t xml:space="preserve"> bind to </w:t>
      </w:r>
      <w:r w:rsidR="00252457">
        <w:rPr>
          <w:i/>
          <w:iCs/>
        </w:rPr>
        <w:t>cis</w:t>
      </w:r>
      <w:r w:rsidR="00252457">
        <w:rPr>
          <w:i/>
          <w:iCs/>
        </w:rPr>
        <w:softHyphen/>
      </w:r>
      <w:r w:rsidR="00252457">
        <w:t>-regulatory elements to recruit transcriptional machinery</w:t>
      </w:r>
      <w:r w:rsidR="00035CD9">
        <w:t xml:space="preserve"> </w:t>
      </w:r>
      <w:r w:rsidR="00035CD9">
        <w:fldChar w:fldCharType="begin" w:fldLock="1"/>
      </w:r>
      <w:r w:rsidR="00191E96">
        <w:instrText>ADDIN CSL_CITATION {"citationItems":[{"id":"ITEM-1","itemData":{"DOI":"10.1111/j.1558-5646.2008.00450.x","ISBN":"0014-3820","ISSN":"00143820","PMID":"18616572","abstract":"Is genetic evolution predictable? Evolutionary developmental biologists have argued that, at least for morphological traits, the answer is a resounding yes. Most mutations causing morphological variation are expected to reside in the cis-regulatory, rather than the coding, regions of developmental genes. This \"cis-regulatory hypothesis\" has recently come under attack. In this review, we first describe and critique the arguments that have been proposed in support of the cis-regulatory hypothesis. We then test the empirical support for the cis-regulatory hypothesis with a comprehensive survey of mutations responsible for phenotypic evolution in multicellular organisms. Cis-regulatory mutations currently represent approximately 22% of 331 identified genetic changes although the number of cis-regulatory changes published annually is rapidly increasing. Above the species level, cis-regulatory mutations altering morphology are more common than coding changes. Also, above the species level cis-regulatory mutations predominate for genes not involved in terminal differentiation. These patterns imply that the simple question \"Do coding or cis-regulatory mutations cause more phenotypic evolution?\" hides more interesting phenomena. Evolution in different kinds of populations and over different durations may result in selection of different kinds of mutations. Predicting the genetic basis of evolution requires a comprehensive synthesis of molecular developmental biology and population genetics.","author":[{"dropping-particle":"","family":"Stern","given":"David L.","non-dropping-particle":"","parse-names":false,"suffix":""},{"dropping-particle":"","family":"Orgogozo","given":"Virginie","non-dropping-particle":"","parse-names":false,"suffix":""}],"container-title":"Evolution","id":"ITEM-1","issue":"9","issued":{"date-parts":[["2008"]]},"page":"2155-2177","title":"The loci of evolution: How predictable is genetic evolution?","type":"article","volume":"62"},"uris":["http://www.mendeley.com/documents/?uuid=a045b1e3-9712-4c92-aba7-0b93874f8e9a"]}],"mendeley":{"formattedCitation":"(Stern and Orgogozo 2008)","plainTextFormattedCitation":"(Stern and Orgogozo 2008)","previouslyFormattedCitation":"(Stern and Orgogozo 2008)"},"properties":{"noteIndex":0},"schema":"https://github.com/citation-style-language/schema/raw/master/csl-citation.json"}</w:instrText>
      </w:r>
      <w:r w:rsidR="00035CD9">
        <w:fldChar w:fldCharType="separate"/>
      </w:r>
      <w:r w:rsidR="00035CD9" w:rsidRPr="00035CD9">
        <w:rPr>
          <w:noProof/>
        </w:rPr>
        <w:t>(Stern and Orgogozo 2008)</w:t>
      </w:r>
      <w:r w:rsidR="00035CD9">
        <w:fldChar w:fldCharType="end"/>
      </w:r>
      <w:r w:rsidR="00252457">
        <w:t xml:space="preserve">, although </w:t>
      </w:r>
      <w:r w:rsidR="00191E96">
        <w:t>this finding</w:t>
      </w:r>
      <w:r w:rsidR="003F5E7A">
        <w:t xml:space="preserve"> may in part </w:t>
      </w:r>
      <w:r w:rsidR="00191E96">
        <w:t xml:space="preserve">be </w:t>
      </w:r>
      <w:r w:rsidR="003F5E7A">
        <w:t xml:space="preserve">biased due to </w:t>
      </w:r>
      <w:r w:rsidR="00DD0F96">
        <w:t>our</w:t>
      </w:r>
      <w:r w:rsidR="00191E96">
        <w:t xml:space="preserve"> historically</w:t>
      </w:r>
      <w:r w:rsidR="00DD0F96">
        <w:t xml:space="preserve"> lagging knowledge </w:t>
      </w:r>
      <w:r w:rsidR="00191E96">
        <w:t>of gene regulation outside of transcriptional activation</w:t>
      </w:r>
      <w:r w:rsidR="00DD0F96">
        <w:t xml:space="preserve">. </w:t>
      </w:r>
      <w:r w:rsidR="00191E96">
        <w:t>O</w:t>
      </w:r>
      <w:r w:rsidR="00252457">
        <w:t xml:space="preserve">ur rapidly growing understanding of gene regulation in its entirety allows us to </w:t>
      </w:r>
      <w:r w:rsidR="00191E96">
        <w:t xml:space="preserve">now </w:t>
      </w:r>
      <w:r w:rsidR="00252457">
        <w:t xml:space="preserve">survey the role and/or contribution of other mechanistic steps to gene expression evolution. </w:t>
      </w:r>
    </w:p>
    <w:p w14:paraId="5F629A9D" w14:textId="77777777" w:rsidR="00191E96" w:rsidRDefault="00191E96" w:rsidP="00FF78AA"/>
    <w:p w14:paraId="66EB0A1A" w14:textId="20800DB4" w:rsidR="00191E96" w:rsidRDefault="00DD0F96" w:rsidP="00191E96">
      <w:pPr>
        <w:ind w:firstLine="360"/>
      </w:pPr>
      <w:r>
        <w:t>Chromatin remodeling is a</w:t>
      </w:r>
      <w:r w:rsidR="00252457">
        <w:t xml:space="preserve">n essential early step of gene regulation. To allow for regulatory machinery to activate transcription, </w:t>
      </w:r>
      <w:r w:rsidR="00903CAF">
        <w:t xml:space="preserve">DNA must </w:t>
      </w:r>
      <w:r w:rsidR="00252457">
        <w:t xml:space="preserve">first </w:t>
      </w:r>
      <w:r w:rsidR="00903CAF">
        <w:t xml:space="preserve">be made accessible </w:t>
      </w:r>
      <w:r w:rsidR="00252457">
        <w:t>by evicting</w:t>
      </w:r>
      <w:r w:rsidR="004A4B23">
        <w:t xml:space="preserve"> nucleosomes</w:t>
      </w:r>
      <w:r w:rsidR="00252457">
        <w:t xml:space="preserve"> </w:t>
      </w:r>
      <w:r w:rsidR="00743EB8">
        <w:t>followed by</w:t>
      </w:r>
      <w:r w:rsidR="00252457">
        <w:t xml:space="preserve"> epigeneti</w:t>
      </w:r>
      <w:r w:rsidR="00743EB8">
        <w:t>c</w:t>
      </w:r>
      <w:r w:rsidR="00252457">
        <w:t xml:space="preserve"> modif</w:t>
      </w:r>
      <w:r w:rsidR="00743EB8">
        <w:t>ication of</w:t>
      </w:r>
      <w:r w:rsidR="00252457">
        <w:t xml:space="preserve"> regions to maintain accessibility</w:t>
      </w:r>
      <w:r w:rsidR="00035CD9">
        <w:t xml:space="preserve"> </w:t>
      </w:r>
      <w:r w:rsidR="00191E96">
        <w:fldChar w:fldCharType="begin" w:fldLock="1"/>
      </w:r>
      <w:r w:rsidR="00191E96">
        <w:instrText>ADDIN CSL_CITATION {"citationItems":[{"id":"ITEM-1","itemData":{"DOI":"10.1038/s41576-018-0089-8","ISSN":"14710064","PMID":"30675018","abstract":"Physical access to DNA is a highly dynamic property of chromatin that plays an essential role in establishing and maintaining cellular identity. The organization of accessible chromatin across the genome reflects a network of permissible physical interactions through which enhancers, promoters, insulators and chromatin-binding factors cooperatively regulate gene expression. This landscape of accessibility changes dynamically in response to both external stimuli and developmental cues, and emerging evidence suggests that homeostatic maintenance of accessibility is itself dynamically regulated through a competitive interplay between chromatin-binding factors and nucleosomes. In this Review, we examine how the accessible genome is measured and explore the role of transcription factors in initiating accessibility remodelling; our goal is to illustrate how chromatin accessibility defines regulatory elements within the genome and how these epigenetic features are dynamically established to control gene expression.","author":[{"dropping-particle":"","family":"Klemm","given":"Sandy L.","non-dropping-particle":"","parse-names":false,"suffix":""},{"dropping-particle":"","family":"Shipony","given":"Zohar","non-dropping-particle":"","parse-names":false,"suffix":""},{"dropping-particle":"","family":"Greenleaf","given":"William J.","non-dropping-particle":"","parse-names":false,"suffix":""}],"container-title":"Nature Reviews Genetics","id":"ITEM-1","issue":"4","issued":{"date-parts":[["2019"]]},"page":"207-220","title":"Chromatin accessibility and the regulatory epigenome","type":"article-journal","volume":"20"},"uris":["http://www.mendeley.com/documents/?uuid=6c59e689-edc7-3900-b2c1-844cfa86dd6c"]}],"mendeley":{"formattedCitation":"(Klemm, Shipony, and Greenleaf 2019)","plainTextFormattedCitation":"(Klemm, Shipony, and Greenleaf 2019)","previouslyFormattedCitation":"(Klemm, Shipony, and Greenleaf 2019)"},"properties":{"noteIndex":0},"schema":"https://github.com/citation-style-language/schema/raw/master/csl-citation.json"}</w:instrText>
      </w:r>
      <w:r w:rsidR="00191E96">
        <w:fldChar w:fldCharType="separate"/>
      </w:r>
      <w:r w:rsidR="00191E96" w:rsidRPr="00191E96">
        <w:rPr>
          <w:noProof/>
        </w:rPr>
        <w:t>(Klemm, Shipony, and Greenleaf 2019)</w:t>
      </w:r>
      <w:r w:rsidR="00191E96">
        <w:fldChar w:fldCharType="end"/>
      </w:r>
      <w:r w:rsidR="00191E96">
        <w:t xml:space="preserve">. </w:t>
      </w:r>
      <w:r w:rsidR="00252457">
        <w:t>The extent to which regions are made and maintain</w:t>
      </w:r>
      <w:r w:rsidR="003F5E7A">
        <w:t>ed</w:t>
      </w:r>
      <w:r w:rsidR="00252457">
        <w:t xml:space="preserve"> accessible is known as chromatin accessibility. The molecular mechanisms that give rise to chromatin accessibility are varied and depend on the </w:t>
      </w:r>
      <w:r w:rsidR="00191E96">
        <w:t xml:space="preserve">regulatory </w:t>
      </w:r>
      <w:r w:rsidR="00252457">
        <w:t>function</w:t>
      </w:r>
      <w:r w:rsidR="00191E96">
        <w:t xml:space="preserve"> </w:t>
      </w:r>
      <w:r w:rsidR="00252457">
        <w:t>of a given region</w:t>
      </w:r>
      <w:r w:rsidR="00191E96">
        <w:t xml:space="preserve"> (e.g. promoters vs enhancers) </w:t>
      </w:r>
      <w:r w:rsidR="00191E96">
        <w:fldChar w:fldCharType="begin" w:fldLock="1"/>
      </w:r>
      <w:r w:rsidR="00191E96">
        <w:instrText>ADDIN CSL_CITATION {"citationItems":[{"id":"ITEM-1","itemData":{"DOI":"10.1101/GR.266338.120","ISSN":"15495469","PMID":"33310749","abstract":"Precise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Research","id":"ITEM-1","issue":"2","issued":{"date-parts":[["2021","2","1"]]},"page":"211-224","publisher":"Cold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development","type":"article-journal","volume":"31"},"uris":["http://www.mendeley.com/documents/?uuid=9e8ba38f-fa12-30e2-90b8-cd372968ff9c"]}],"mendeley":{"formattedCitation":"(Floc’hlay et al. 2021)","plainTextFormattedCitation":"(Floc’hlay et al. 2021)","previouslyFormattedCitation":"(Floc’hlay et al. 2021)"},"properties":{"noteIndex":0},"schema":"https://github.com/citation-style-language/schema/raw/master/csl-citation.json"}</w:instrText>
      </w:r>
      <w:r w:rsidR="00191E96">
        <w:fldChar w:fldCharType="separate"/>
      </w:r>
      <w:r w:rsidR="00191E96" w:rsidRPr="00191E96">
        <w:rPr>
          <w:noProof/>
        </w:rPr>
        <w:t>(Floc’hlay et al. 2021)</w:t>
      </w:r>
      <w:r w:rsidR="00191E96">
        <w:fldChar w:fldCharType="end"/>
      </w:r>
      <w:r w:rsidR="00191E96">
        <w:t>, but</w:t>
      </w:r>
      <w:r w:rsidR="00252457">
        <w:t xml:space="preserve"> can </w:t>
      </w:r>
      <w:r w:rsidR="00191E96">
        <w:t xml:space="preserve">also </w:t>
      </w:r>
      <w:r w:rsidR="00252457">
        <w:t>vary</w:t>
      </w:r>
      <w:r w:rsidR="00191E96">
        <w:t xml:space="preserve"> </w:t>
      </w:r>
      <w:r w:rsidR="00252457">
        <w:t xml:space="preserve">within </w:t>
      </w:r>
      <w:r w:rsidR="00191E96">
        <w:t xml:space="preserve">each of </w:t>
      </w:r>
      <w:r w:rsidR="00252457">
        <w:t xml:space="preserve">these categories. For example, the accessibility of some </w:t>
      </w:r>
      <w:r w:rsidR="00252457">
        <w:rPr>
          <w:i/>
          <w:iCs/>
        </w:rPr>
        <w:t xml:space="preserve">Drosophila </w:t>
      </w:r>
      <w:r w:rsidR="00252457">
        <w:t>enhancers seems to be primarily determined by the binding of a single transcription factor with the ability to bind nucleosome-bound DNA</w:t>
      </w:r>
      <w:r w:rsidR="00191E96">
        <w:t xml:space="preserve">, </w:t>
      </w:r>
      <w:r w:rsidR="00252457">
        <w:t>known as a pioneer factor, whereas other enhancers’ accessibility is determined by the collective binding of numerous transcription factors</w:t>
      </w:r>
      <w:r w:rsidR="00191E96">
        <w:t xml:space="preserve"> </w:t>
      </w:r>
      <w:r w:rsidR="00035CD9">
        <w:fldChar w:fldCharType="begin" w:fldLock="1"/>
      </w:r>
      <w:r w:rsidR="00191E96">
        <w:instrText xml:space="preserve">ADDIN CSL_CITATION {"citationItems":[{"id":"ITEM-1","itemData":{"DOI":"10.1038/s41588-018-0140-x","author":[{"dropping-particle":"","family":"Jacobs","given":"Jelle","non-dropping-particle":"","parse-names":false,"suffix":""},{"dropping-particle":"","family":"Atkins","given":"Mardelle","non-dropping-particle":"","parse-names":false,"suffix":""},{"dropping-particle":"","family":"Davie","given":"Kristofer","non-dropping-particle":"","parse-names":false,"suffix":""},{"dropping-particle":"","family":"Imrichova","given":"Hana","non-dropping-particle":"","parse-names":false,"suffix":""},{"dropping-particle":"","family":"Romanelli","given":"Lucia","non-dropping-particle":"","parse-names":false,"suffix":""},{"dropping-particle":"","family":"Christiaens","given":"Valerie","non-dropping-particle":"","parse-names":false,"suffix":""},{"dropping-particle":"","family":"Hulselmans","given":"Gert","non-dropping-particle":"","parse-names":false,"suffix":""},{"dropping-particle":"","family":"Potier","given":"Delphine","non-dropping-particle":"","parse-names":false,"suffix":""},{"dropping-particle":"","family":"Wouters","given":"Jasper","non-dropping-particle":"","parse-names":false,"suffix":""},{"dropping-particle":"","family":"Taskiran","given":"Ibrahim I","non-dropping-particle":"","parse-names":false,"suffix":""},{"dropping-particle":"","family":"Paciello","given":"Giulia","non-dropping-particle":"","parse-names":false,"suffix":""},{"dropping-particle":"","family":"González-Blas","given":"Carmen B","non-dropping-particle":"","parse-names":false,"suffix":""},{"dropping-particle":"","family":"Koldere","given":"Duygu","non-dropping-particle":"","parse-names":false,"suffix":""},{"dropping-particle":"","family":"Aibar","given":"Sara","non-dropping-particle":"","parse-names":false,"suffix":""},{"dropping-particle":"","family":"Halder","given":"Georg","non-dropping-particle":"","parse-names":false,"suffix":""},{"dropping-particle":"","family":"Aerts","given":"Stein","non-dropping-particle":"","parse-names":false,"suffix":""}],"container-title":"Nature Genetics","id":"ITEM-1","issued":{"date-parts":[["2018"]]},"title":"The transcription factor Grainy head primes epithelial enhancers for spatiotemporal activation by displacing nucleosomes","type":"article-journal"},"uris":["http://www.mendeley.com/documents/?uuid=846b9c13-bc67-3dd9-ad58-e7e95af1e946"]},{"id":"ITEM-2","itemData":{"DOI":"10.15252/msb.20209438","ISSN":"1744-4292","abstract":"Single-cell technologies allow measuring chromatin accessibility and gene expression in each cell, but jointly utilizing both layers to map bona fide gene regulatory networks and enhancers remains challenging. Here, we generate independent single-cell RNA-seq and single-cell ATAC-seq atlases of the Drosophila eye-antennal disc and spatially integrate the data using a virtual latent space that mimics the organization of the 2D tissue. To validate spatially predicted enhancers, we use a large collection of enhancer-reporter lines and identify </w:instrText>
      </w:r>
      <w:r w:rsidR="00191E96">
        <w:rPr>
          <w:rFonts w:ascii="Cambria Math" w:hAnsi="Cambria Math" w:cs="Cambria Math"/>
        </w:rPr>
        <w:instrText>∼</w:instrText>
      </w:r>
      <w:r w:rsidR="00191E96">
        <w:instrText>85% of enhancers in which chromatin accessibility and enhancer activity are coupled. Next, we infer enhancer-to-gene relationships in the virtual space, finding that genes are regulated by multiple redundant enhancers. Exploiting cell-type specific enhancers, we deconvolute cell-type specific effects of bulk-derived chromatin accessibility QTLs. Finally, we discover that Prospero drives neuronal differentiation through the binding of a GGG motif. In summary, we provide a comprehensive spatial characterization of gene regulation in a 2D tissue.","author":[{"dropping-particle":"","family":"Bravo González‐Blas","given":"Carmen","non-dropping-particle":"","parse-names":false,"suffix":""},{"dropping-particle":"","family":"Quan","given":"Xiao‐Jiang","non-dropping-particle":"","parse-names":false,"suffix":""},{"dropping-particle":"","family":"Duran‐Romaña","given":"Ramon","non-dropping-particle":"","parse-names":false,"suffix":""},{"dropping-particle":"","family":"Taskiran","given":"Ibrahim Ihsan","non-dropping-particle":"","parse-names":false,"suffix":""},{"dropping-particle":"","family":"Koldere","given":"Duygu","non-dropping-particle":"","parse-names":false,"suffix":""},{"dropping-particle":"","family":"Davie","given":"Kristofer","non-dropping-particle":"","parse-names":false,"suffix":""},{"dropping-particle":"","family":"Christiaens","given":"Valerie","non-dropping-particle":"","parse-names":false,"suffix":""},{"dropping-particle":"","family":"Makhzami","given":"Samira","non-dropping-particle":"","parse-names":false,"suffix":""},{"dropping-particle":"","family":"Hulselmans","given":"Gert","non-dropping-particle":"","parse-names":false,"suffix":""},{"dropping-particle":"","family":"Waegeneer","given":"Maxime","non-dropping-particle":"","parse-names":false,"suffix":""},{"dropping-particle":"","family":"Mauduit","given":"David","non-dropping-particle":"","parse-names":false,"suffix":""},{"dropping-particle":"","family":"Poovathingal","given":"Suresh","non-dropping-particle":"","parse-names":false,"suffix":""},{"dropping-particle":"","family":"Aibar","given":"Sara","non-dropping-particle":"","parse-names":false,"suffix":""},{"dropping-particle":"","family":"Aerts","given":"Stein","non-dropping-particle":"","parse-names":false,"suffix":""}],"container-title":"Molecular Systems Biology","id":"ITEM-2","issue":"5","issued":{"date-parts":[["2020","5","19"]]},"publisher":"EMBO","title":"Identification of genomic enhancers through spatial integration of single‐cell transcriptomics and epigenomics","type":"article-journal","volume":"16"},"uris":["http://www.mendeley.com/documents/?uuid=0f70b868-e376-387d-a01e-1f725bd3ba0d"]}],"mendeley":{"formattedCitation":"(Jacobs et al. 2018; Bravo González‐Blas et al. 2020)","plainTextFormattedCitation":"(Jacobs et al. 2018; Bravo González‐Blas et al. 2020)","previouslyFormattedCitation":"(Jacobs et al. 2018; Bravo González‐Blas et al. 2020)"},"properties":{"noteIndex":0},"schema":"https://github.com/citation-style-language/schema/raw/master/csl-citation.json"}</w:instrText>
      </w:r>
      <w:r w:rsidR="00035CD9">
        <w:fldChar w:fldCharType="separate"/>
      </w:r>
      <w:r w:rsidR="00035CD9" w:rsidRPr="00035CD9">
        <w:rPr>
          <w:noProof/>
        </w:rPr>
        <w:t>(Jacobs et al. 2018; Bravo González‐Blas et al. 2020)</w:t>
      </w:r>
      <w:r w:rsidR="00035CD9">
        <w:fldChar w:fldCharType="end"/>
      </w:r>
      <w:r w:rsidR="00252457">
        <w:t>. Additionally, promoters</w:t>
      </w:r>
      <w:r w:rsidR="00035CD9">
        <w:t xml:space="preserve"> </w:t>
      </w:r>
      <w:r w:rsidR="00191E96">
        <w:t xml:space="preserve">which vary in transcription initiation dynamics – often </w:t>
      </w:r>
      <w:r w:rsidR="00035CD9">
        <w:t xml:space="preserve">classified </w:t>
      </w:r>
      <w:r w:rsidR="00191E96">
        <w:t>as</w:t>
      </w:r>
      <w:r w:rsidR="00035CD9">
        <w:t xml:space="preserve"> either “broad” or “</w:t>
      </w:r>
      <w:r w:rsidR="00191E96">
        <w:t>peaked</w:t>
      </w:r>
      <w:r w:rsidR="00035CD9">
        <w:t xml:space="preserve">” </w:t>
      </w:r>
      <w:r w:rsidR="00191E96">
        <w:t>architectures</w:t>
      </w:r>
      <w:r w:rsidR="00DA56D5">
        <w:t xml:space="preserve"> </w:t>
      </w:r>
      <w:r w:rsidR="00191E96">
        <w:t>– have different nucleosome affinities and epigenetic mark</w:t>
      </w:r>
      <w:r w:rsidR="00DA56D5">
        <w:t xml:space="preserve"> profiles</w:t>
      </w:r>
      <w:r w:rsidR="00191E96">
        <w:t xml:space="preserve">, suggesting varied chromatin remodeling mechanisms </w:t>
      </w:r>
      <w:r w:rsidR="00191E96">
        <w:fldChar w:fldCharType="begin" w:fldLock="1"/>
      </w:r>
      <w:r w:rsidR="00191E96">
        <w:instrText>ADDIN CSL_CITATION {"citationItems":[{"id":"ITEM-1","itemData":{"DOI":"10.1186/1471-2164-12-416","ISSN":"14712164","PMID":"21846408","abstract":"Background: Transcription promoters are fundamental genomic cis-elements controlling gene expression. They can be classified into two types by the degree of imprecision of their transcription start sites: peak promoters, which initiate transcription from a narrow genomic region; and broad promoters, which initiate transcription from a wide-ranging region. Eukaryotic transcription initiation is suggested to be associated with the genomic positions and modifications of nucleosomes. For instance, it has been recently shown that histone with H3K9 acetylation (H3K9ac) is more likely to be distributed around broad promoters rather than peak promoters; it can thus be inferred that there is an association between histone H3K9 and promoter architecture.Results: Here, we performed a systematic analysis of transcription promoters and gene expression, as well as of epigenetic histone behaviors, including genomic position, stability within the chromatin, and several modifications. We found that, in humans, broad promoters, but not peak promoters, generally had significant associations with nucleosome positioning and modification. Specifically, around broad promoters histones were highly distributed and aligned in an orderly fashion. This feature was more evident with histones that were methylated or acetylated; moreover, the nucleosome positions around the broad promoters were more stable than those around the peak ones. More strikingly, the overall expression levels of genes associated with broad promoters (but not peak promoters) with modified histones were significantly higher than the levels of genes associated with broad promoters with unmodified histones.Conclusion: These results shed light on how epigenetic regulatory networks of histone modifications are associated with promoter architecture. © 2011 Nozaki et al; licensee BioMed Central Ltd.","author":[{"dropping-particle":"","family":"Nozaki","given":"Tadasu","non-dropping-particle":"","parse-names":false,"suffix":""},{"dropping-particle":"","family":"Yachie","given":"Nozomu","non-dropping-particle":"","parse-names":false,"suffix":""},{"dropping-particle":"","family":"Ogawa","given":"Ryu","non-dropping-particle":"","parse-names":false,"suffix":""},{"dropping-particle":"","family":"Kratz","given":"Anton","non-dropping-particle":"","parse-names":false,"suffix":""},{"dropping-particle":"","family":"Saito","given":"Rintaro","non-dropping-particle":"","parse-names":false,"suffix":""},{"dropping-particle":"","family":"Tomita","given":"Masaru","non-dropping-particle":"","parse-names":false,"suffix":""}],"container-title":"BMC Genomics","id":"ITEM-1","issue":"1","issued":{"date-parts":[["2011","8","17"]]},"page":"1-10","publisher":"BioMed Central","title":"Tight associations between transcription promoter type and epigenetic variation in histone positioning and modification","type":"article-journal","volume":"12"},"uris":["http://www.mendeley.com/documents/?uuid=4e609d04-1d6c-38cd-be5c-428ad756711c"]},{"id":"ITEM-2","itemData":{"DOI":"10.1101/gr.112466.110","ISSN":"10889051","PMID":"21177961","abstract":"Core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Research","id":"ITEM-2","issue":"2","issued":{"date-parts":[["2011","2","1"]]},"page":"182-192","publisher":"Cold Spring Harbor Laboratory Press","title":"Genome-wide analysis of promoter architecture in Drosophila melanogaster","type":"article-journal","volume":"21"},"uris":["http://www.mendeley.com/documents/?uuid=f2e09063-f7fb-327e-b75e-6c235fcff7e5"]}],"mendeley":{"formattedCitation":"(Nozaki et al. 2011; Hoskins et al. 2011)","plainTextFormattedCitation":"(Nozaki et al. 2011; Hoskins et al. 2011)","previouslyFormattedCitation":"(Nozaki et al. 2011; Hoskins et al. 2011)"},"properties":{"noteIndex":0},"schema":"https://github.com/citation-style-language/schema/raw/master/csl-citation.json"}</w:instrText>
      </w:r>
      <w:r w:rsidR="00191E96">
        <w:fldChar w:fldCharType="separate"/>
      </w:r>
      <w:r w:rsidR="00191E96" w:rsidRPr="00191E96">
        <w:rPr>
          <w:noProof/>
        </w:rPr>
        <w:t>(Nozaki et al. 2011; Hoskins et al. 2011)</w:t>
      </w:r>
      <w:r w:rsidR="00191E96">
        <w:fldChar w:fldCharType="end"/>
      </w:r>
      <w:r w:rsidR="00191E96">
        <w:t xml:space="preserve"> </w:t>
      </w:r>
      <w:r w:rsidR="00191E96">
        <w:fldChar w:fldCharType="begin" w:fldLock="1"/>
      </w:r>
      <w:r w:rsidR="00191E96">
        <w:instrText>ADDIN CSL_CITATION {"citationItems":[{"id":"ITEM-1","itemData":{"DOI":"10.1186/1471-2164-12-416","ISSN":"14712164","PMID":"21846408","abstract":"Background: Transcription promoters are fundamental genomic cis-elements controlling gene expression. They can be classified into two types by the degree of imprecision of their transcription start sites: peak promoters, which initiate transcription from a narrow genomic region; and broad promoters, which initiate transcription from a wide-ranging region. Eukaryotic transcription initiation is suggested to be associated with the genomic positions and modifications of nucleosomes. For instance, it has been recently shown that histone with H3K9 acetylation (H3K9ac) is more likely to be distributed around broad promoters rather than peak promoters; it can thus be inferred that there is an association between histone H3K9 and promoter architecture.Results: Here, we performed a systematic analysis of transcription promoters and gene expression, as well as of epigenetic histone behaviors, including genomic position, stability within the chromatin, and several modifications. We found that, in humans, broad promoters, but not peak promoters, generally had significant associations with nucleosome positioning and modification. Specifically, around broad promoters histones were highly distributed and aligned in an orderly fashion. This feature was more evident with histones that were methylated or acetylated; moreover, the nucleosome positions around the broad promoters were more stable than those around the peak ones. More strikingly, the overall expression levels of genes associated with broad promoters (but not peak promoters) with modified histones were significantly higher than the levels of genes associated with broad promoters with unmodified histones.Conclusion: These results shed light on how epigenetic regulatory networks of histone modifications are associated with promoter architecture. © 2011 Nozaki et al; licensee BioMed Central Ltd.","author":[{"dropping-particle":"","family":"Nozaki","given":"Tadasu","non-dropping-particle":"","parse-names":false,"suffix":""},{"dropping-particle":"","family":"Yachie","given":"Nozomu","non-dropping-particle":"","parse-names":false,"suffix":""},{"dropping-particle":"","family":"Ogawa","given":"Ryu","non-dropping-particle":"","parse-names":false,"suffix":""},{"dropping-particle":"","family":"Kratz","given":"Anton","non-dropping-particle":"","parse-names":false,"suffix":""},{"dropping-particle":"","family":"Saito","given":"Rintaro","non-dropping-particle":"","parse-names":false,"suffix":""},{"dropping-particle":"","family":"Tomita","given":"Masaru","non-dropping-particle":"","parse-names":false,"suffix":""}],"container-title":"BMC Genomics","id":"ITEM-1","issue":"1","issued":{"date-parts":[["2011","8","17"]]},"page":"1-10","publisher":"BioMed Central","title":"Tight associations between transcription promoter type and epigenetic variation in histone positioning and modification","type":"article-journal","volume":"12"},"uris":["http://www.mendeley.com/documents/?uuid=4e609d04-1d6c-38cd-be5c-428ad756711c"]}],"mendeley":{"formattedCitation":"(Nozaki et al. 2011)","plainTextFormattedCitation":"(Nozaki et al. 2011)","previouslyFormattedCitation":"(Nozaki et al. 2011)"},"properties":{"noteIndex":0},"schema":"https://github.com/citation-style-language/schema/raw/master/csl-citation.json"}</w:instrText>
      </w:r>
      <w:r w:rsidR="00191E96">
        <w:fldChar w:fldCharType="separate"/>
      </w:r>
      <w:r w:rsidR="00191E96" w:rsidRPr="00035CD9">
        <w:rPr>
          <w:noProof/>
        </w:rPr>
        <w:t>(Nozaki et al. 2011)</w:t>
      </w:r>
      <w:r w:rsidR="00191E96">
        <w:fldChar w:fldCharType="end"/>
      </w:r>
      <w:r w:rsidR="00BE573A">
        <w:t xml:space="preserve">. </w:t>
      </w:r>
      <w:r w:rsidR="00191E96">
        <w:t xml:space="preserve">As we begin to understand chromatin accessibility variation and how it relates to gene expression variation, we must also integrate our mechanistic understanding of chromatin remodeling to ask: do evolutionary patterns of chromatin accessibility divergence vary across genomic regions remodeled by different mechanisms, and how may this impact the relationship between chromatin accessibility and gene expression variation? </w:t>
      </w:r>
    </w:p>
    <w:p w14:paraId="765FEEE9" w14:textId="77777777" w:rsidR="00191E96" w:rsidRDefault="00191E96" w:rsidP="00191E96">
      <w:pPr>
        <w:ind w:firstLine="360"/>
      </w:pPr>
    </w:p>
    <w:p w14:paraId="76A074EC" w14:textId="041522F0" w:rsidR="003F5E7A" w:rsidRPr="003F5E7A" w:rsidRDefault="00191E96" w:rsidP="00191E96">
      <w:pPr>
        <w:ind w:firstLine="360"/>
      </w:pPr>
      <w:r>
        <w:t xml:space="preserve">One observation is common across all prior work of chromatin accessibility variation: the majority of chromatin accessibility variation is due to changes in </w:t>
      </w:r>
      <w:r>
        <w:rPr>
          <w:i/>
          <w:iCs/>
        </w:rPr>
        <w:t>cis</w:t>
      </w:r>
      <w:r>
        <w:t xml:space="preserve"> </w:t>
      </w:r>
      <w:r>
        <w:fldChar w:fldCharType="begin" w:fldLock="1"/>
      </w:r>
      <w:r>
        <w:instrText>ADDIN CSL_CITATION {"citationItems":[{"id":"ITEM-1","itemData":{"DOI":"10.1371/journal.pgen.1004427","abstract":"Chromatin accessibility is an important functional genomics phenotype that influences transcription factor binding and gene expression. Genome-scale technologies allow chromatin accessibility to be mapped with high-resolution, facilitating detailed analyses into the genetic architecture and evolution of chromatin structure within and between species. We performed Formaldehyde-Assisted Isolation of Regulatory Elements sequencing (FAIRE-Seq) to map chromatin accessibility in two parental haploid yeast species, Saccharomyces cerevisiae and Saccharomyces paradoxus and their diploid hybrid. We show that although broad-scale characteristics of the chromatin landscape are well conserved between these species, accessibility is significantly different for 947 regions upstream of genes that are enriched for GO terms such as intracellular transport and protein localization exhibit. We also develop new statistical methods to investigate the genetic architecture of variation in chromatin accessibility between species, and find that cis effects are more common and of greater magnitude than trans effects. Interestingly, we find that cis and trans effects at individual genes are often negatively correlated, suggesting widespread compensatory evolution to stabilize levels of chromatin accessibility. Finally, we demonstrate that the relationship between chromatin accessibility and gene expression levels is complex, and a significant proportion of differences in chromatin accessibility might be functionally benign.","author":[{"dropping-particle":"","family":"Connelly","given":"C F","non-dropping-particle":"","parse-names":false,"suffix":""},{"dropping-particle":"","family":"Wakefield","given":"J","non-dropping-particle":"","parse-names":false,"suffix":""},{"dropping-particle":"","family":"Akey","given":"J M","non-dropping-particle":"","parse-names":false,"suffix":""}],"container-title":"PLoS Genet","id":"ITEM-1","issue":"7","issued":{"date-parts":[["2014"]]},"page":"1004427","title":"Evolution and Genetic Architecture of Chromatin Accessibility and Function in Yeast","type":"article-journal","volume":"10"},"uris":["http://www.mendeley.com/documents/?uuid=1bffac4a-a996-38ff-ae53-7d5b60070b19"]},{"id":"ITEM-2","itemData":{"DOI":"10.1101/GR.266338.120","ISSN":"15495469","PMID":"33310749","abstract":"Precise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Research","id":"ITEM-2","issue":"2","issued":{"date-parts":[["2021","2","1"]]},"page":"211-224","publisher":"Cold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development","type":"article-journal","volume":"31"},"uris":["http://www.mendeley.com/documents/?uuid=9e8ba38f-fa12-30e2-90b8-cd372968ff9c"]}],"mendeley":{"formattedCitation":"(Connelly, Wakefield, and Akey 2014; Floc’hlay et al. 2021)","plainTextFormattedCitation":"(Connelly, Wakefield, and Akey 2014; Floc’hlay et al. 2021)","previouslyFormattedCitation":"(Connelly, Wakefield, and Akey 2014; Floc’hlay et al. 2021)"},"properties":{"noteIndex":0},"schema":"https://github.com/citation-style-language/schema/raw/master/csl-citation.json"}</w:instrText>
      </w:r>
      <w:r>
        <w:fldChar w:fldCharType="separate"/>
      </w:r>
      <w:r w:rsidRPr="00191E96">
        <w:rPr>
          <w:noProof/>
        </w:rPr>
        <w:t>(Connelly, Wakefield, and Akey 2014; Floc’hlay et al. 2021)</w:t>
      </w:r>
      <w:r>
        <w:fldChar w:fldCharType="end"/>
      </w:r>
      <w:r>
        <w:t>. However, the extent to which this chromatin accessibility variation is predictive of gene expression variation is unclear, seemingly depend</w:t>
      </w:r>
      <w:r w:rsidR="00D03396">
        <w:t>ent</w:t>
      </w:r>
      <w:r>
        <w:t xml:space="preserve"> </w:t>
      </w:r>
      <w:r w:rsidR="00D03396">
        <w:t>up</w:t>
      </w:r>
      <w:r>
        <w:t xml:space="preserve">on the organism and tissue being assayed. As for how these patterns may vary across the genome, when distal enhancer and proximal promoter regions are separated and compared, distal enhancer regions are more variable than proximal promoter elements, although variation in the latter better correlates with gene expression variation </w:t>
      </w:r>
      <w:r>
        <w:fldChar w:fldCharType="begin" w:fldLock="1"/>
      </w:r>
      <w:r>
        <w:instrText>ADDIN CSL_CITATION {"citationItems":[{"id":"ITEM-1","itemData":{"DOI":"10.1101/GR.266338.120","ISSN":"15495469","PMID":"33310749","abstract":"Precise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Research","id":"ITEM-1","issue":"2","issued":{"date-parts":[["2021","2","1"]]},"page":"211-224","publisher":"Cold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development","type":"article-journal","volume":"31"},"uris":["http://www.mendeley.com/documents/?uuid=9e8ba38f-fa12-30e2-90b8-cd372968ff9c"]}],"mendeley":{"formattedCitation":"(Floc’hlay et al. 2021)","plainTextFormattedCitation":"(Floc’hlay et al. 2021)","previouslyFormattedCitation":"(Floc’hlay et al. 2021)"},"properties":{"noteIndex":0},"schema":"https://github.com/citation-style-language/schema/raw/master/csl-citation.json"}</w:instrText>
      </w:r>
      <w:r>
        <w:fldChar w:fldCharType="separate"/>
      </w:r>
      <w:r w:rsidRPr="00035CD9">
        <w:rPr>
          <w:noProof/>
        </w:rPr>
        <w:t>(Floc’hlay et al. 2021)</w:t>
      </w:r>
      <w:r>
        <w:fldChar w:fldCharType="end"/>
      </w:r>
      <w:r>
        <w:t xml:space="preserve">. </w:t>
      </w:r>
      <w:r w:rsidR="003F5E7A">
        <w:t xml:space="preserve">Here, we </w:t>
      </w:r>
      <w:r>
        <w:t xml:space="preserve">integrate </w:t>
      </w:r>
      <w:r>
        <w:lastRenderedPageBreak/>
        <w:t xml:space="preserve">our prior knowledge and data on remodeling and regulatory mechanisms to measure how evolutionary patterns of chromatin accessibility variation and its relationship to gene expression variation </w:t>
      </w:r>
      <w:r w:rsidR="00DA56D5">
        <w:t xml:space="preserve">may </w:t>
      </w:r>
      <w:r>
        <w:t>vary across the genome</w:t>
      </w:r>
      <w:r w:rsidR="00DA56D5">
        <w:t xml:space="preserve"> depending on the regulatory mechanism</w:t>
      </w:r>
      <w:r>
        <w:t xml:space="preserve">. We </w:t>
      </w:r>
      <w:r w:rsidR="003F5E7A">
        <w:t>collect</w:t>
      </w:r>
      <w:r>
        <w:t>ed</w:t>
      </w:r>
      <w:r w:rsidR="003F5E7A">
        <w:t xml:space="preserve"> parental and </w:t>
      </w:r>
      <w:r w:rsidR="00DA56D5">
        <w:t xml:space="preserve">hybrid </w:t>
      </w:r>
      <w:r w:rsidR="003F5E7A">
        <w:t xml:space="preserve">allelic chromatin accessibility and gene expression data from </w:t>
      </w:r>
      <w:r w:rsidR="003F5E7A">
        <w:rPr>
          <w:i/>
          <w:iCs/>
        </w:rPr>
        <w:t xml:space="preserve">Drosophila </w:t>
      </w:r>
      <w:r w:rsidR="003F5E7A">
        <w:t>imaginal wing discs, which allows us to further delimit both promoter and enhancer regions by chromatin remodeling mechanism and test the relationship to gene expression variation</w:t>
      </w:r>
      <w:r w:rsidR="00F42C80">
        <w:t xml:space="preserve">. </w:t>
      </w:r>
      <w:r w:rsidR="003F5E7A">
        <w:t>These data describe chromatin accessibility variation at a more finely resolved resolution, as well as incorporate current molecular biology into our understanding of how variation across mechanistic layers is related.</w:t>
      </w:r>
    </w:p>
    <w:p w14:paraId="57BA447C" w14:textId="7F4A68A0" w:rsidR="004358B5" w:rsidRDefault="004358B5" w:rsidP="004358B5"/>
    <w:p w14:paraId="649CD129" w14:textId="2EDA1BCA" w:rsidR="00191E96" w:rsidRDefault="00191E96" w:rsidP="004358B5">
      <w:pPr>
        <w:rPr>
          <w:b/>
          <w:bCs/>
        </w:rPr>
      </w:pPr>
      <w:r w:rsidRPr="00191E96">
        <w:rPr>
          <w:b/>
          <w:bCs/>
        </w:rPr>
        <w:t>RESULTS</w:t>
      </w:r>
    </w:p>
    <w:p w14:paraId="0068CFE1" w14:textId="77777777" w:rsidR="00191E96" w:rsidRPr="00191E96" w:rsidRDefault="00191E96" w:rsidP="004358B5">
      <w:pPr>
        <w:rPr>
          <w:b/>
          <w:bCs/>
        </w:rPr>
      </w:pPr>
    </w:p>
    <w:p w14:paraId="730BC35F" w14:textId="01F850E9" w:rsidR="000B6667" w:rsidRPr="00191E96" w:rsidRDefault="00191E96" w:rsidP="0044674A">
      <w:pPr>
        <w:rPr>
          <w:b/>
          <w:bCs/>
          <w:i/>
          <w:iCs/>
        </w:rPr>
      </w:pPr>
      <w:r w:rsidRPr="00191E96">
        <w:rPr>
          <w:b/>
          <w:bCs/>
          <w:i/>
          <w:iCs/>
        </w:rPr>
        <w:t>Quantifying gene expression and chromatin accessibility across the genome</w:t>
      </w:r>
    </w:p>
    <w:p w14:paraId="61BC62AA" w14:textId="45B72A81" w:rsidR="00C670AE" w:rsidRDefault="00C670AE" w:rsidP="0044674A">
      <w:r>
        <w:t xml:space="preserve">To measure the extent and mode of chromatin accessibility variation, as well as its relationship to gene expression variation, we collected ATAC-seq (accessible chromatin) and RNA-seq (gene expression) data from the L3 imaginal wing discs of two populations of </w:t>
      </w:r>
      <w:r w:rsidRPr="00C670AE">
        <w:rPr>
          <w:i/>
          <w:iCs/>
        </w:rPr>
        <w:t xml:space="preserve">D. melanogaster </w:t>
      </w:r>
      <w:r>
        <w:t>(United States and Zimbabwe) as well as the F1 hybrid</w:t>
      </w:r>
      <w:r w:rsidR="00035CD9">
        <w:t xml:space="preserve"> (Figure 1A/B)</w:t>
      </w:r>
      <w:r>
        <w:t xml:space="preserve">. </w:t>
      </w:r>
      <w:r w:rsidR="00191E96">
        <w:t>T</w:t>
      </w:r>
      <w:r>
        <w:t xml:space="preserve">hese two populations of </w:t>
      </w:r>
      <w:r w:rsidRPr="00C670AE">
        <w:rPr>
          <w:i/>
          <w:iCs/>
        </w:rPr>
        <w:t>D. melanogaster</w:t>
      </w:r>
      <w:r>
        <w:t xml:space="preserve"> </w:t>
      </w:r>
      <w:r w:rsidR="00191E96">
        <w:t xml:space="preserve">have, on average, </w:t>
      </w:r>
      <w:r w:rsidR="00BA49A0">
        <w:t>0.78</w:t>
      </w:r>
      <w:r w:rsidR="00191E96">
        <w:t xml:space="preserve">% and </w:t>
      </w:r>
      <w:r w:rsidR="00BA49A0">
        <w:t>1</w:t>
      </w:r>
      <w:r w:rsidR="00191E96">
        <w:t xml:space="preserve">% sequence divergence in coding regions and </w:t>
      </w:r>
      <w:r w:rsidR="00BA49A0">
        <w:t xml:space="preserve">accessible </w:t>
      </w:r>
      <w:r w:rsidR="00191E96">
        <w:t>non-coding regions (Supp Fig</w:t>
      </w:r>
      <w:r w:rsidR="00BA49A0">
        <w:t>ure 1</w:t>
      </w:r>
      <w:r w:rsidR="00191E96">
        <w:t>)</w:t>
      </w:r>
      <w:r>
        <w:t>,</w:t>
      </w:r>
      <w:r w:rsidR="00191E96">
        <w:t xml:space="preserve"> respectively,</w:t>
      </w:r>
      <w:r>
        <w:t xml:space="preserve"> and specifically dissect</w:t>
      </w:r>
      <w:r w:rsidR="00191E96">
        <w:t xml:space="preserve">ing </w:t>
      </w:r>
      <w:r>
        <w:t xml:space="preserve">L3 imaginal wing discs </w:t>
      </w:r>
      <w:r w:rsidR="00191E96">
        <w:t>allowed us to draw on</w:t>
      </w:r>
      <w:r>
        <w:t xml:space="preserve"> prior </w:t>
      </w:r>
      <w:r w:rsidR="00191E96">
        <w:t xml:space="preserve">functional </w:t>
      </w:r>
      <w:r>
        <w:t xml:space="preserve">work </w:t>
      </w:r>
      <w:r w:rsidR="00191E96">
        <w:t>on</w:t>
      </w:r>
      <w:r>
        <w:t xml:space="preserve"> chromatin remodeling </w:t>
      </w:r>
      <w:r w:rsidR="00191E96">
        <w:t xml:space="preserve">mechanisms in these </w:t>
      </w:r>
      <w:r>
        <w:t>tissue</w:t>
      </w:r>
      <w:r w:rsidR="00191E96">
        <w:t>s</w:t>
      </w:r>
      <w:r w:rsidR="00BA49A0">
        <w:t xml:space="preserve"> </w:t>
      </w:r>
      <w:r w:rsidR="00191E96">
        <w:fldChar w:fldCharType="begin" w:fldLock="1"/>
      </w:r>
      <w:r w:rsidR="000B6667">
        <w:instrText xml:space="preserve">ADDIN CSL_CITATION {"citationItems":[{"id":"ITEM-1","itemData":{"DOI":"10.15252/msb.20209438","ISSN":"1744-4292","abstract":"Single-cell technologies allow measuring chromatin accessibility and gene expression in each cell, but jointly utilizing both layers to map bona fide gene regulatory networks and enhancers remains challenging. Here, we generate independent single-cell RNA-seq and single-cell ATAC-seq atlases of the Drosophila eye-antennal disc and spatially integrate the data using a virtual latent space that mimics the organization of the 2D tissue. To validate spatially predicted enhancers, we use a large collection of enhancer-reporter lines and identify </w:instrText>
      </w:r>
      <w:r w:rsidR="000B6667">
        <w:rPr>
          <w:rFonts w:ascii="Cambria Math" w:hAnsi="Cambria Math" w:cs="Cambria Math"/>
        </w:rPr>
        <w:instrText>∼</w:instrText>
      </w:r>
      <w:r w:rsidR="000B6667">
        <w:instrText>85% of enhancers in which chromatin accessibility and enhancer activity are coupled. Next, we infer enhancer-to-gene relationships in the virtual space, finding that genes are regulated by multiple redundant enhancers. Exploiting cell-type specific enhancers, we deconvolute cell-type specific effects of bulk-derived chromatin accessibility QTLs. Finally, we discover that Prospero drives neuronal differentiation through the binding of a GGG motif. In summary, we provide a comprehensive spatial characterization of gene regulation in a 2D tissue.","author":[{"dropping-particle":"","family":"Bravo González‐Blas","given":"Carmen","non-dropping-particle":"","parse-names":false,"suffix":""},{"dropping-particle":"","family":"Quan","given":"Xiao‐Jiang","non-dropping-particle":"","parse-names":false,"suffix":""},{"dropping-particle":"","family":"Duran‐Romaña","given":"Ramon","non-dropping-particle":"","parse-names":false,"suffix":""},{"dropping-particle":"","family":"Taskiran","given":"Ibrahim Ihsan","non-dropping-particle":"","parse-names":false,"suffix":""},{"dropping-particle":"","family":"Koldere","given":"Duygu","non-dropping-particle":"","parse-names":false,"suffix":""},{"dropping-particle":"","family":"Davie","given":"Kristofer","non-dropping-particle":"","parse-names":false,"suffix":""},{"dropping-particle":"","family":"Christiaens","given":"Valerie","non-dropping-particle":"","parse-names":false,"suffix":""},{"dropping-particle":"","family":"Makhzami","given":"Samira","non-dropping-particle":"","parse-names":false,"suffix":""},{"dropping-particle":"","family":"Hulselmans","given":"Gert","non-dropping-particle":"","parse-names":false,"suffix":""},{"dropping-particle":"","family":"Waegeneer","given":"Maxime","non-dropping-particle":"","parse-names":false,"suffix":""},{"dropping-particle":"","family":"Mauduit","given":"David","non-dropping-particle":"","parse-names":false,"suffix":""},{"dropping-particle":"","family":"Poovathingal","given":"Suresh","non-dropping-particle":"","parse-names":false,"suffix":""},{"dropping-particle":"","family":"Aibar","given":"Sara","non-dropping-particle":"","parse-names":false,"suffix":""},{"dropping-particle":"","family":"Aerts","given":"Stein","non-dropping-particle":"","parse-names":false,"suffix":""}],"container-title":"Molecular Systems Biology","id":"ITEM-1","issue":"5","issued":{"date-parts":[["2020","5","19"]]},"publisher":"EMBO","title":"Identification of genomic enhancers through spatial integration of single‐cell transcriptomics and epigenomics","type":"article-journal","volume":"16"},"uris":["http://www.mendeley.com/documents/?uuid=0f70b868-e376-387d-a01e-1f725bd3ba0d"]},{"id":"ITEM-2","itemData":{"DOI":"10.1038/s41588-018-0140-x","author":[{"dropping-particle":"","family":"Jacobs","given":"Jelle","non-dropping-particle":"","parse-names":false,"suffix":""},{"dropping-particle":"","family":"Atkins","given":"Mardelle","non-dropping-particle":"","parse-names":false,"suffix":""},{"dropping-particle":"","family":"Davie","given":"Kristofer","non-dropping-particle":"","parse-names":false,"suffix":""},{"dropping-particle":"","family":"Imrichova","given":"Hana","non-dropping-particle":"","parse-names":false,"suffix":""},{"dropping-particle":"","family":"Romanelli","given":"Lucia","non-dropping-particle":"","parse-names":false,"suffix":""},{"dropping-particle":"","family":"Christiaens","given":"Valerie","non-dropping-particle":"","parse-names":false,"suffix":""},{"dropping-particle":"","family":"Hulselmans","given":"Gert","non-dropping-particle":"","parse-names":false,"suffix":""},{"dropping-particle":"","family":"Potier","given":"Delphine","non-dropping-particle":"","parse-names":false,"suffix":""},{"dropping-particle":"","family":"Wouters","given":"Jasper","non-dropping-particle":"","parse-names":false,"suffix":""},{"dropping-particle":"","family":"Taskiran","given":"Ibrahim I","non-dropping-particle":"","parse-names":false,"suffix":""},{"dropping-particle":"","family":"Paciello","given":"Giulia","non-dropping-particle":"","parse-names":false,"suffix":""},{"dropping-particle":"","family":"González-Blas","given":"Carmen B","non-dropping-particle":"","parse-names":false,"suffix":""},{"dropping-particle":"","family":"Koldere","given":"Duygu","non-dropping-particle":"","parse-names":false,"suffix":""},{"dropping-particle":"","family":"Aibar","given":"Sara","non-dropping-particle":"","parse-names":false,"suffix":""},{"dropping-particle":"","family":"Halder","given":"Georg","non-dropping-particle":"","parse-names":false,"suffix":""},{"dropping-particle":"","family":"Aerts","given":"Stein","non-dropping-particle":"","parse-names":false,"suffix":""}],"container-title":"Nature Genetics","id":"ITEM-2","issued":{"date-parts":[["2018"]]},"title":"The transcription factor Grainy head primes epithelial enhancers for spatiotemporal activation by displacing nucleosomes","type":"article-journal"},"uris":["http://www.mendeley.com/documents/?uuid=846b9c13-bc67-3dd9-ad58-e7e95af1e946"]}],"mendeley":{"formattedCitation":"(Bravo González‐Blas et al. 2020; Jacobs et al. 2018)","plainTextFormattedCitation":"(Bravo González‐Blas et al. 2020; Jacobs et al. 2018)","previouslyFormattedCitation":"(Bravo González‐Blas et al. 2020; Jacobs et al. 2018)"},"properties":{"noteIndex":0},"schema":"https://github.com/citation-style-language/schema/raw/master/csl-citation.json"}</w:instrText>
      </w:r>
      <w:r w:rsidR="00191E96">
        <w:fldChar w:fldCharType="separate"/>
      </w:r>
      <w:r w:rsidR="00191E96" w:rsidRPr="00191E96">
        <w:rPr>
          <w:noProof/>
        </w:rPr>
        <w:t>(Bravo González‐Blas et al. 2020; Jacobs et al. 2018)</w:t>
      </w:r>
      <w:r w:rsidR="00191E96">
        <w:fldChar w:fldCharType="end"/>
      </w:r>
      <w:r>
        <w:t>. For each genotype, we collected three biological replicates for the ATAC-seq and six biological replicates of RNA-seq. Read counts across regions were highly correlated across biological replicates with</w:t>
      </w:r>
      <w:r w:rsidR="00DA56D5">
        <w:t xml:space="preserve"> </w:t>
      </w:r>
      <w:r>
        <w:t>reduced correlation coefficients between genotypes</w:t>
      </w:r>
      <w:r w:rsidR="00DA56D5">
        <w:t>, as expected</w:t>
      </w:r>
      <w:r w:rsidR="00035CD9">
        <w:t xml:space="preserve"> (</w:t>
      </w:r>
      <w:r w:rsidR="00191E96">
        <w:t>Supp Fig</w:t>
      </w:r>
      <w:r w:rsidR="00BA49A0">
        <w:t>ure 2)</w:t>
      </w:r>
      <w:r>
        <w:t xml:space="preserve">. </w:t>
      </w:r>
    </w:p>
    <w:p w14:paraId="299DC13F" w14:textId="240B63FB" w:rsidR="00C670AE" w:rsidRDefault="00C670AE" w:rsidP="0044674A"/>
    <w:p w14:paraId="135FC27A" w14:textId="6099BD97" w:rsidR="00C670AE" w:rsidRDefault="00C670AE" w:rsidP="0044674A">
      <w:r>
        <w:t xml:space="preserve">To define genomic regions to measure accessibility, we took two approaches to establish coordinates for 1) transcription start sites (TSSs) and transcription end sites (TESs) and 2) intergenic and intragenic regions. For TSSs and TESs, we </w:t>
      </w:r>
      <w:r w:rsidR="00191E96">
        <w:t>defined these regions as</w:t>
      </w:r>
      <w:r w:rsidR="00DA56D5">
        <w:t xml:space="preserve"> </w:t>
      </w:r>
      <w:r w:rsidR="00191E96">
        <w:t xml:space="preserve">+/- 500bp from the annotated predominant </w:t>
      </w:r>
      <w:r>
        <w:t>TSS and TSS coordinates</w:t>
      </w:r>
      <w:r w:rsidR="00191E96">
        <w:t xml:space="preserve"> (cite UCSC browser)</w:t>
      </w:r>
      <w:r>
        <w:t xml:space="preserve">. For intergenic and intragenic regions, we </w:t>
      </w:r>
      <w:r w:rsidR="00191E96">
        <w:t>obtained regions with a peak calling software (cite macs2) and filtered</w:t>
      </w:r>
      <w:r>
        <w:t xml:space="preserve"> only peaks non-overlapping with the TSS and TES sites; if the peak fell within a coding region it was classified as intragenic; if the peak fell outside of a coding region it was classified as intergenic. </w:t>
      </w:r>
      <w:r w:rsidR="00191E96">
        <w:t>F</w:t>
      </w:r>
      <w:r>
        <w:t xml:space="preserve">or both intergenic and intragenic regions, </w:t>
      </w:r>
      <w:r w:rsidR="00191E96">
        <w:t>the final coordinates were defined as</w:t>
      </w:r>
      <w:r>
        <w:t xml:space="preserve"> +/- 500bp</w:t>
      </w:r>
      <w:r w:rsidR="00191E96">
        <w:t xml:space="preserve"> from the center of the called peak region</w:t>
      </w:r>
      <w:r>
        <w:t>. Reads</w:t>
      </w:r>
      <w:r w:rsidR="00191E96">
        <w:t xml:space="preserve"> of each sample</w:t>
      </w:r>
      <w:r>
        <w:t xml:space="preserve"> were then counted </w:t>
      </w:r>
      <w:r w:rsidR="00DA56D5">
        <w:t>within</w:t>
      </w:r>
      <w:r>
        <w:t xml:space="preserve"> region coordinates for each class</w:t>
      </w:r>
      <w:r w:rsidR="00DA56D5">
        <w:t>. Processing the data in this way results in</w:t>
      </w:r>
      <w:r w:rsidR="00035CD9">
        <w:t xml:space="preserve"> the highest average read counts fall</w:t>
      </w:r>
      <w:r w:rsidR="00DA56D5">
        <w:t>ing</w:t>
      </w:r>
      <w:r w:rsidR="00035CD9">
        <w:t xml:space="preserve"> at the center of these coordinates</w:t>
      </w:r>
      <w:r w:rsidR="00DA56D5">
        <w:t>, suggesting we are accurately defining coordinates of interest</w:t>
      </w:r>
      <w:r w:rsidR="00035CD9">
        <w:t xml:space="preserve"> (Figure 1C). Lastly, to gain better insight into the intragenic class, we calculated the frequency of these regions falling in introns, exons, or spanning both, and found that the majority fell into exons, one-third into introns, and few into both</w:t>
      </w:r>
      <w:r w:rsidR="00191E96">
        <w:t xml:space="preserve"> (Figure 1D). </w:t>
      </w:r>
    </w:p>
    <w:p w14:paraId="360C39CA" w14:textId="555BFDB7" w:rsidR="00C670AE" w:rsidRDefault="00C670AE" w:rsidP="0044674A"/>
    <w:p w14:paraId="7B1A73FC" w14:textId="40E08FC5" w:rsidR="000B6667" w:rsidRPr="000B6667" w:rsidRDefault="00412887" w:rsidP="0044674A">
      <w:pPr>
        <w:rPr>
          <w:b/>
          <w:bCs/>
        </w:rPr>
      </w:pPr>
      <w:r w:rsidRPr="007B4206">
        <w:rPr>
          <w:b/>
          <w:bCs/>
        </w:rPr>
        <w:t xml:space="preserve">Intergenic regions exhibit the most chromatin accessibility divergence and percentage contribution of </w:t>
      </w:r>
      <w:r w:rsidRPr="007B4206">
        <w:rPr>
          <w:b/>
          <w:bCs/>
          <w:i/>
          <w:iCs/>
        </w:rPr>
        <w:t xml:space="preserve">cis </w:t>
      </w:r>
      <w:r w:rsidRPr="007B4206">
        <w:rPr>
          <w:b/>
          <w:bCs/>
        </w:rPr>
        <w:t>changes</w:t>
      </w:r>
    </w:p>
    <w:p w14:paraId="252537E5" w14:textId="593282E5" w:rsidR="00412887" w:rsidRDefault="006B58B0" w:rsidP="0044674A">
      <w:r>
        <w:lastRenderedPageBreak/>
        <w:t xml:space="preserve">To quantify the extent </w:t>
      </w:r>
      <w:r w:rsidR="00035CD9">
        <w:t xml:space="preserve">and mode </w:t>
      </w:r>
      <w:r>
        <w:t>of chromatin accessibility variation</w:t>
      </w:r>
      <w:r w:rsidR="00035CD9">
        <w:t>, we estimate</w:t>
      </w:r>
      <w:r w:rsidR="00412887">
        <w:t>d</w:t>
      </w:r>
      <w:r w:rsidR="00035CD9">
        <w:t xml:space="preserve"> </w:t>
      </w:r>
      <w:r w:rsidR="00412887">
        <w:t>the difference in chromatin accessibility</w:t>
      </w:r>
      <w:r w:rsidR="00035CD9">
        <w:t xml:space="preserve"> between </w:t>
      </w:r>
      <w:r>
        <w:t xml:space="preserve">parental strains </w:t>
      </w:r>
      <w:r w:rsidR="00412887">
        <w:t>as well the difference in chromatin accessibility between</w:t>
      </w:r>
      <w:r>
        <w:t xml:space="preserve"> hybrid alleles</w:t>
      </w:r>
      <w:r w:rsidR="00412887">
        <w:t xml:space="preserve"> (Figure 2A)</w:t>
      </w:r>
      <w:r w:rsidR="00035CD9">
        <w:t xml:space="preserve">. </w:t>
      </w:r>
      <w:r w:rsidR="00412887">
        <w:t xml:space="preserve">Since the chromatin accessibility variation between hybrid alleles is measured in a controlled </w:t>
      </w:r>
      <w:r w:rsidR="00412887">
        <w:rPr>
          <w:i/>
          <w:iCs/>
        </w:rPr>
        <w:t xml:space="preserve">trans </w:t>
      </w:r>
      <w:r w:rsidR="00412887">
        <w:t xml:space="preserve">environment, we can infer the contribution of </w:t>
      </w:r>
      <w:r w:rsidR="00412887">
        <w:rPr>
          <w:i/>
          <w:iCs/>
        </w:rPr>
        <w:t xml:space="preserve">cis </w:t>
      </w:r>
      <w:r w:rsidR="00412887">
        <w:t xml:space="preserve">and </w:t>
      </w:r>
      <w:r w:rsidR="00412887">
        <w:rPr>
          <w:i/>
          <w:iCs/>
        </w:rPr>
        <w:t xml:space="preserve">trans </w:t>
      </w:r>
      <w:r w:rsidR="00412887">
        <w:t xml:space="preserve">changes to chromatin accessibility variation between </w:t>
      </w:r>
      <w:r w:rsidR="00412887">
        <w:rPr>
          <w:i/>
          <w:iCs/>
        </w:rPr>
        <w:t xml:space="preserve">D. melanogaster </w:t>
      </w:r>
      <w:r w:rsidR="00412887">
        <w:t xml:space="preserve">strains. To do so for each region while normalizing for the magnitude of variation, we calculated the contribution the percentage of chromatin accessibility variation due to </w:t>
      </w:r>
      <w:r w:rsidR="00412887">
        <w:rPr>
          <w:i/>
          <w:iCs/>
        </w:rPr>
        <w:t xml:space="preserve">cis </w:t>
      </w:r>
      <w:r w:rsidR="00412887">
        <w:t xml:space="preserve">changes (Figure 2B, top). In agreement with all prior studies measuring the genetic architecture of chromatin accessibility variation, for most regions in the genome, chromatin accessibility variation is largely due to changes in </w:t>
      </w:r>
      <w:r w:rsidR="00412887">
        <w:rPr>
          <w:i/>
          <w:iCs/>
        </w:rPr>
        <w:t xml:space="preserve">cis </w:t>
      </w:r>
      <w:r w:rsidR="00412887">
        <w:t xml:space="preserve">(Figure 2B, bottom).  </w:t>
      </w:r>
    </w:p>
    <w:p w14:paraId="01D47CF0" w14:textId="4FC9AC53" w:rsidR="000B6667" w:rsidRDefault="000B6667" w:rsidP="0044674A"/>
    <w:p w14:paraId="06E4BB48" w14:textId="614932FE" w:rsidR="000B6667" w:rsidRPr="000B6667" w:rsidRDefault="000B6667" w:rsidP="0044674A">
      <w:r>
        <w:t xml:space="preserve">Next, we contrasted both metrics – parental chromatin accessibility variation and percent </w:t>
      </w:r>
      <w:r>
        <w:rPr>
          <w:i/>
          <w:iCs/>
        </w:rPr>
        <w:t xml:space="preserve">cis </w:t>
      </w:r>
      <w:r>
        <w:t xml:space="preserve">– across different functional/spatial groups. In accordance with prior work, intergenic regions have greater parental chromatin accessibility variation than TSS regions </w:t>
      </w:r>
      <w:r>
        <w:fldChar w:fldCharType="begin" w:fldLock="1"/>
      </w:r>
      <w:r>
        <w:instrText>ADDIN CSL_CITATION {"citationItems":[{"id":"ITEM-1","itemData":{"DOI":"10.1101/GR.266338.120","ISSN":"15495469","PMID":"33310749","abstract":"Precise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Research","id":"ITEM-1","issue":"2","issued":{"date-parts":[["2021","2","1"]]},"page":"211-224","publisher":"Cold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development","type":"article-journal","volume":"31"},"uris":["http://www.mendeley.com/documents/?uuid=9e8ba38f-fa12-30e2-90b8-cd372968ff9c"]}],"mendeley":{"formattedCitation":"(Floc’hlay et al. 2021)","plainTextFormattedCitation":"(Floc’hlay et al. 2021)","previouslyFormattedCitation":"(Floc’hlay et al. 2021)"},"properties":{"noteIndex":0},"schema":"https://github.com/citation-style-language/schema/raw/master/csl-citation.json"}</w:instrText>
      </w:r>
      <w:r>
        <w:fldChar w:fldCharType="separate"/>
      </w:r>
      <w:r w:rsidRPr="000B6667">
        <w:rPr>
          <w:noProof/>
        </w:rPr>
        <w:t>(Floc’hlay et al. 2021)</w:t>
      </w:r>
      <w:r>
        <w:fldChar w:fldCharType="end"/>
      </w:r>
      <w:r>
        <w:t xml:space="preserve"> but are also greater than both TES and intragenic regions (Figure 2C). Furthermore, intergenic regions also exhibit the greatest percentage of chromatin accessibility due to changes in </w:t>
      </w:r>
      <w:r>
        <w:rPr>
          <w:i/>
          <w:iCs/>
        </w:rPr>
        <w:t>cis</w:t>
      </w:r>
      <w:r>
        <w:t xml:space="preserve"> as compared to the other functional/spatial groups (Figure 2D). Taken together, these findings are consistent with our expectations based on intergenic regions having the greatest amount of sequence variation, underscoring the relationship between local sequence and chromatin accessibility variation (Supp figure). </w:t>
      </w:r>
    </w:p>
    <w:p w14:paraId="39E178DD" w14:textId="19E68D34" w:rsidR="00412887" w:rsidRDefault="00412887" w:rsidP="0044674A"/>
    <w:p w14:paraId="643BC2B1" w14:textId="6B7DB097" w:rsidR="004358B5" w:rsidRDefault="000B6667" w:rsidP="00800F5A">
      <w:r>
        <w:rPr>
          <w:b/>
          <w:bCs/>
        </w:rPr>
        <w:t>Narrow promoter architectures are more accessible and exhibit different accessibility evolutionary patterns than broad promoter architectures</w:t>
      </w:r>
    </w:p>
    <w:p w14:paraId="66423F75" w14:textId="4A7D37A5" w:rsidR="000B6667" w:rsidRDefault="00191E96" w:rsidP="00800F5A">
      <w:r>
        <w:t xml:space="preserve">Generally, broad promoters tend to have TATA box motifs and are found to regulate ubiquitously expressed genes, whereas </w:t>
      </w:r>
      <w:r w:rsidR="000B6667">
        <w:t xml:space="preserve">peaked </w:t>
      </w:r>
      <w:r>
        <w:t xml:space="preserve">promoters often lack TATA box motifs and regulate tissue-specific genes </w:t>
      </w:r>
      <w:r>
        <w:fldChar w:fldCharType="begin" w:fldLock="1"/>
      </w:r>
      <w:r>
        <w:instrText>ADDIN CSL_CITATION {"citationItems":[{"id":"ITEM-1","itemData":{"DOI":"10.1101/gr.112466.110","ISSN":"10889051","PMID":"21177961","abstract":"Core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Research","id":"ITEM-1","issue":"2","issued":{"date-parts":[["2011","2","1"]]},"page":"182-192","publisher":"Cold Spring Harbor Laboratory Press","title":"Genome-wide analysis of promoter architecture in Drosophila melanogaster","type":"article-journal","volume":"21"},"uris":["http://www.mendeley.com/documents/?uuid=f2e09063-f7fb-327e-b75e-6c235fcff7e5"]}],"mendeley":{"formattedCitation":"(Hoskins et al. 2011)","plainTextFormattedCitation":"(Hoskins et al. 2011)","previouslyFormattedCitation":"(Hoskins et al. 2011)"},"properties":{"noteIndex":0},"schema":"https://github.com/citation-style-language/schema/raw/master/csl-citation.json"}</w:instrText>
      </w:r>
      <w:r>
        <w:fldChar w:fldCharType="separate"/>
      </w:r>
      <w:r w:rsidRPr="00035CD9">
        <w:rPr>
          <w:noProof/>
        </w:rPr>
        <w:t>(Hoskins et al. 2011)</w:t>
      </w:r>
      <w:r>
        <w:fldChar w:fldCharType="end"/>
      </w:r>
      <w:r>
        <w:t>.</w:t>
      </w:r>
      <w:r w:rsidR="000B6667">
        <w:t xml:space="preserve"> More importantly, prior work has shown differences in nucleosome affinity and epigenetic marking, suggesting evolutionary patterns of chromatin accessibility may differ between promoter architectures. To measure any potential differences in our </w:t>
      </w:r>
      <w:r w:rsidR="00DA56D5">
        <w:t>dataset</w:t>
      </w:r>
      <w:r w:rsidR="000B6667">
        <w:t>, we</w:t>
      </w:r>
      <w:r w:rsidR="00DA56D5">
        <w:t xml:space="preserve"> using a CAGE-seq dataset from the </w:t>
      </w:r>
      <w:proofErr w:type="spellStart"/>
      <w:r w:rsidR="00DA56D5">
        <w:t>modENCODE</w:t>
      </w:r>
      <w:proofErr w:type="spellEnd"/>
      <w:r w:rsidR="00DA56D5">
        <w:t xml:space="preserve"> project </w:t>
      </w:r>
      <w:r w:rsidR="00DA56D5">
        <w:fldChar w:fldCharType="begin" w:fldLock="1"/>
      </w:r>
      <w:r w:rsidR="00DA56D5">
        <w:instrText>ADDIN CSL_CITATION {"citationItems":[{"id":"ITEM-1","itemData":{"DOI":"10.1101/gr.112466.110","ISSN":"10889051","PMID":"21177961","abstract":"Core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Research","id":"ITEM-1","issue":"2","issued":{"date-parts":[["2011","2","1"]]},"page":"182-192","publisher":"Cold Spring Harbor Laboratory Press","title":"Genome-wide analysis of promoter architecture in Drosophila melanogaster","type":"article-journal","volume":"21"},"uris":["http://www.mendeley.com/documents/?uuid=f2e09063-f7fb-327e-b75e-6c235fcff7e5"]}],"mendeley":{"formattedCitation":"(Hoskins et al. 2011)","plainTextFormattedCitation":"(Hoskins et al. 2011)"},"properties":{"noteIndex":0},"schema":"https://github.com/citation-style-language/schema/raw/master/csl-citation.json"}</w:instrText>
      </w:r>
      <w:r w:rsidR="00DA56D5">
        <w:fldChar w:fldCharType="separate"/>
      </w:r>
      <w:r w:rsidR="00DA56D5" w:rsidRPr="00DA56D5">
        <w:rPr>
          <w:noProof/>
        </w:rPr>
        <w:t>(Hoskins et al. 2011)</w:t>
      </w:r>
      <w:r w:rsidR="00DA56D5">
        <w:fldChar w:fldCharType="end"/>
      </w:r>
      <w:r w:rsidR="000B6667">
        <w:t xml:space="preserve"> </w:t>
      </w:r>
      <w:r w:rsidR="00DA56D5">
        <w:t xml:space="preserve">to </w:t>
      </w:r>
      <w:r w:rsidR="000B6667">
        <w:t xml:space="preserve">label our TSS regions as either broad or peaked promoters and compared various metrics between the two groups. </w:t>
      </w:r>
    </w:p>
    <w:p w14:paraId="2E666DEA" w14:textId="35D30388" w:rsidR="000B6667" w:rsidRDefault="000B6667" w:rsidP="00800F5A"/>
    <w:p w14:paraId="7B3B53AA" w14:textId="7C2ED5FC" w:rsidR="000B6667" w:rsidRPr="000B6667" w:rsidRDefault="000B6667" w:rsidP="00800F5A">
      <w:r>
        <w:t xml:space="preserve">Interestingly, we found that the TSS regions of peaked promoters are on average more accessible than those of broad promoters (Figure 3A), which is consistent with prior work showing broad promoters to have greater nucleosome affinity </w:t>
      </w:r>
      <w:r>
        <w:fldChar w:fldCharType="begin" w:fldLock="1"/>
      </w:r>
      <w:r w:rsidR="00DA56D5">
        <w:instrText>ADDIN CSL_CITATION {"citationItems":[{"id":"ITEM-1","itemData":{"DOI":"10.1101/gr.112466.110","ISSN":"10889051","PMID":"21177961","abstract":"Core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Research","id":"ITEM-1","issue":"2","issued":{"date-parts":[["2011","2","1"]]},"page":"182-192","publisher":"Cold Spring Harbor Laboratory Press","title":"Genome-wide analysis of promoter architecture in Drosophila melanogaster","type":"article-journal","volume":"21"},"uris":["http://www.mendeley.com/documents/?uuid=f2e09063-f7fb-327e-b75e-6c235fcff7e5"]}],"mendeley":{"formattedCitation":"(Hoskins et al. 2011)","plainTextFormattedCitation":"(Hoskins et al. 2011)","previouslyFormattedCitation":"(Hoskins et al. 2011)"},"properties":{"noteIndex":0},"schema":"https://github.com/citation-style-language/schema/raw/master/csl-citation.json"}</w:instrText>
      </w:r>
      <w:r>
        <w:fldChar w:fldCharType="separate"/>
      </w:r>
      <w:r w:rsidRPr="000B6667">
        <w:rPr>
          <w:noProof/>
        </w:rPr>
        <w:t>(Hoskins et al. 2011)</w:t>
      </w:r>
      <w:r>
        <w:fldChar w:fldCharType="end"/>
      </w:r>
      <w:r>
        <w:t xml:space="preserve">. As for how these different promoter architectures may result in varied evolutionary patterns of chromatin accessibility, we found that peaked promoters are less variable (Figure 3B) but better explained by </w:t>
      </w:r>
      <w:r>
        <w:rPr>
          <w:i/>
          <w:iCs/>
        </w:rPr>
        <w:t>cis</w:t>
      </w:r>
      <w:r>
        <w:t xml:space="preserve">-regulatory divergence (Figure 3C) than broad promoters. Taken together, these results </w:t>
      </w:r>
      <w:r w:rsidR="000D6960">
        <w:t>demonstrate</w:t>
      </w:r>
      <w:r>
        <w:t xml:space="preserve"> that chromatin accessibility measurements can capture the </w:t>
      </w:r>
      <w:r w:rsidR="000D6960">
        <w:t xml:space="preserve">previously characterized </w:t>
      </w:r>
      <w:r>
        <w:t xml:space="preserve">varied chromatin states of broad and peaked promoters, and these varied chromatin states are associated with different </w:t>
      </w:r>
      <w:r w:rsidR="000D6960">
        <w:t xml:space="preserve">evolutionary </w:t>
      </w:r>
      <w:r>
        <w:t xml:space="preserve">patterns of chromatin accessibility variation. </w:t>
      </w:r>
    </w:p>
    <w:p w14:paraId="416A0AA5" w14:textId="1C272513" w:rsidR="000B6667" w:rsidRDefault="000B6667" w:rsidP="00800F5A"/>
    <w:p w14:paraId="5AF4DD3F" w14:textId="4FEC873E" w:rsidR="000B6667" w:rsidRPr="002E1FA6" w:rsidRDefault="000B6667" w:rsidP="00800F5A">
      <w:pPr>
        <w:rPr>
          <w:b/>
          <w:bCs/>
        </w:rPr>
      </w:pPr>
      <w:r>
        <w:rPr>
          <w:b/>
          <w:bCs/>
        </w:rPr>
        <w:lastRenderedPageBreak/>
        <w:t>Sequence variation in pioneer factor-mediated</w:t>
      </w:r>
      <w:r w:rsidRPr="007B4206">
        <w:rPr>
          <w:b/>
          <w:bCs/>
        </w:rPr>
        <w:t xml:space="preserve"> regions </w:t>
      </w:r>
      <w:r>
        <w:rPr>
          <w:b/>
          <w:bCs/>
        </w:rPr>
        <w:t>has a</w:t>
      </w:r>
      <w:r w:rsidR="000D6960">
        <w:rPr>
          <w:b/>
          <w:bCs/>
        </w:rPr>
        <w:t xml:space="preserve"> disproportionately</w:t>
      </w:r>
      <w:r>
        <w:rPr>
          <w:b/>
          <w:bCs/>
        </w:rPr>
        <w:t xml:space="preserve"> large effect on chromatin accessibility </w:t>
      </w:r>
      <w:r w:rsidR="000D6960">
        <w:rPr>
          <w:b/>
          <w:bCs/>
        </w:rPr>
        <w:t>variation</w:t>
      </w:r>
    </w:p>
    <w:p w14:paraId="096C9BEA" w14:textId="6A149D42" w:rsidR="000D6960" w:rsidRDefault="000D6960" w:rsidP="00800F5A">
      <w:r>
        <w:t xml:space="preserve">Although it is well-known that different regions are remodeled and made accessible through different mechanisms, we have little functional data speaking to </w:t>
      </w:r>
      <w:r>
        <w:rPr>
          <w:i/>
          <w:iCs/>
        </w:rPr>
        <w:t xml:space="preserve">which </w:t>
      </w:r>
      <w:r>
        <w:t xml:space="preserve">regions are remodeled by a given mechanism. Epithelial cells of </w:t>
      </w:r>
      <w:r>
        <w:rPr>
          <w:i/>
          <w:iCs/>
        </w:rPr>
        <w:t>Drosophila</w:t>
      </w:r>
      <w:r>
        <w:t xml:space="preserve"> imaginal discs are one of the few tissue types for which we do have some functional data on remodeling mechanism. We used this data from prior work to </w:t>
      </w:r>
      <w:r w:rsidR="002E1FA6">
        <w:t xml:space="preserve">appropriately </w:t>
      </w:r>
      <w:r>
        <w:t xml:space="preserve">characterize </w:t>
      </w:r>
      <w:r w:rsidR="002E1FA6">
        <w:t xml:space="preserve">our </w:t>
      </w:r>
      <w:r>
        <w:t>regions as pioneer factor-mediated</w:t>
      </w:r>
      <w:r w:rsidR="002E1FA6">
        <w:t xml:space="preserve"> based on whether</w:t>
      </w:r>
      <w:r>
        <w:t xml:space="preserve"> pioneer factor functionality is necessary for wild-type accessibility. We then asked whether patterns of chromatin accessibility evolution are distinct for regions made accessible by a pioneer factor-mediated mechanism. </w:t>
      </w:r>
    </w:p>
    <w:p w14:paraId="33E1EB4F" w14:textId="7D0CF29D" w:rsidR="00FE25D1" w:rsidRDefault="00FE25D1" w:rsidP="00800F5A"/>
    <w:p w14:paraId="74C464B9" w14:textId="6B048F34" w:rsidR="00FE25D1" w:rsidRPr="00FE25D1" w:rsidRDefault="00FE25D1" w:rsidP="00800F5A">
      <w:r>
        <w:t xml:space="preserve">In contrast to the rest of the genome, the 230 regions classified as pioneer factor-mediated exhibit a greater magnitude of chromatin accessibility variation (Figure 4A) and are more often due to changes in </w:t>
      </w:r>
      <w:r>
        <w:rPr>
          <w:i/>
          <w:iCs/>
        </w:rPr>
        <w:t xml:space="preserve">cis </w:t>
      </w:r>
      <w:r>
        <w:t xml:space="preserve">(Figure 4B). However, we found notably less sequence variation in the pioneer factor-mediated regions, meaning that the average effect size per nucleotide variant is greater for pioneer factor-mediated regions than the rest of the genome (Figure 4C). </w:t>
      </w:r>
      <w:r w:rsidRPr="00FE25D1">
        <w:rPr>
          <w:i/>
          <w:iCs/>
        </w:rPr>
        <w:t xml:space="preserve">These findings prompted us to scan for motifs with </w:t>
      </w:r>
      <w:proofErr w:type="gramStart"/>
      <w:r w:rsidRPr="00FE25D1">
        <w:rPr>
          <w:i/>
          <w:iCs/>
        </w:rPr>
        <w:t>variation..</w:t>
      </w:r>
      <w:proofErr w:type="gramEnd"/>
      <w:r w:rsidRPr="00FE25D1">
        <w:rPr>
          <w:i/>
          <w:iCs/>
        </w:rPr>
        <w:t xml:space="preserve"> [need to play around with this analysis – still unsure what to do to provide some explanation or hypothesis for this pattern]. </w:t>
      </w:r>
    </w:p>
    <w:p w14:paraId="7536DAF5" w14:textId="1174C4D9" w:rsidR="004358B5" w:rsidRDefault="004358B5" w:rsidP="00800F5A"/>
    <w:p w14:paraId="71651041" w14:textId="0833A62D" w:rsidR="00FE25D1" w:rsidRDefault="00FE25D1" w:rsidP="00800F5A">
      <w:pPr>
        <w:rPr>
          <w:b/>
          <w:bCs/>
        </w:rPr>
      </w:pPr>
      <w:r w:rsidRPr="008354D7">
        <w:rPr>
          <w:b/>
          <w:bCs/>
        </w:rPr>
        <w:t>Promoter architecture influences the</w:t>
      </w:r>
      <w:r>
        <w:rPr>
          <w:b/>
          <w:bCs/>
        </w:rPr>
        <w:t xml:space="preserve"> extent to which</w:t>
      </w:r>
      <w:r w:rsidRPr="008354D7">
        <w:rPr>
          <w:b/>
          <w:bCs/>
        </w:rPr>
        <w:t xml:space="preserve"> chromatin accessibility </w:t>
      </w:r>
      <w:r w:rsidR="004863B7">
        <w:rPr>
          <w:b/>
          <w:bCs/>
        </w:rPr>
        <w:t xml:space="preserve">variation </w:t>
      </w:r>
      <w:r>
        <w:rPr>
          <w:b/>
          <w:bCs/>
        </w:rPr>
        <w:t>predict</w:t>
      </w:r>
      <w:r w:rsidR="004863B7">
        <w:rPr>
          <w:b/>
          <w:bCs/>
        </w:rPr>
        <w:t>s</w:t>
      </w:r>
      <w:r w:rsidRPr="008354D7">
        <w:rPr>
          <w:b/>
          <w:bCs/>
        </w:rPr>
        <w:t xml:space="preserve"> gene expression divergence</w:t>
      </w:r>
    </w:p>
    <w:p w14:paraId="7F5538F7" w14:textId="5BC13CE7" w:rsidR="004863B7" w:rsidRDefault="004863B7" w:rsidP="00800F5A">
      <w:pPr>
        <w:rPr>
          <w:b/>
          <w:bCs/>
        </w:rPr>
      </w:pPr>
    </w:p>
    <w:p w14:paraId="0EDC8754" w14:textId="466FAFB0" w:rsidR="004863B7" w:rsidRDefault="004863B7" w:rsidP="00800F5A">
      <w:r>
        <w:t>Given that regions that differ by function, space, architecture, and remodeling mechanism exhibit different patterns of chromatin accessibility variation, we next asked whether any of these parameters have an influence on the extent to which chromatin accessibility variation can predict gene expression variation. To pair accessible regions with gene expression values, we either 1) matched TSS and TES regions with the annotated gene or 2) used a proximity approach in which each intergenic and intragenic region was paired with the closest expressed gene (Figure 5A). Overall, gene expression and chromatin accessibility are weakly correlated (</w:t>
      </w:r>
      <w:r w:rsidR="00A63184">
        <w:t>P</w:t>
      </w:r>
      <w:r>
        <w:t xml:space="preserve">earson </w:t>
      </w:r>
      <w:r w:rsidR="00A63184">
        <w:t xml:space="preserve">correlation coefficient </w:t>
      </w:r>
      <w:r>
        <w:t>= 0.3</w:t>
      </w:r>
      <w:r w:rsidR="00A63184">
        <w:t>0</w:t>
      </w:r>
      <w:r>
        <w:t>), which is consistent with observations in yeast and, to some extent, fly embryos (</w:t>
      </w:r>
      <w:r w:rsidR="00BA49A0">
        <w:t>Supp Fig</w:t>
      </w:r>
      <w:r>
        <w:t>).</w:t>
      </w:r>
    </w:p>
    <w:p w14:paraId="66CA544C" w14:textId="77777777" w:rsidR="004863B7" w:rsidRDefault="004863B7" w:rsidP="00800F5A"/>
    <w:p w14:paraId="7700FD3E" w14:textId="54D7A645" w:rsidR="004863B7" w:rsidRDefault="004863B7" w:rsidP="004863B7">
      <w:r>
        <w:t xml:space="preserve">To statistically test whether the predictability of gene expression variation from chromatin accessibility variation was influenced by </w:t>
      </w:r>
      <w:r w:rsidR="00BA49A0">
        <w:t>the type of region</w:t>
      </w:r>
      <w:r>
        <w:t xml:space="preserve">, we built </w:t>
      </w:r>
      <w:proofErr w:type="gramStart"/>
      <w:r>
        <w:t>an</w:t>
      </w:r>
      <w:proofErr w:type="gramEnd"/>
      <w:r>
        <w:t xml:space="preserve"> generalized linear model</w:t>
      </w:r>
      <w:r w:rsidR="00BA49A0">
        <w:t>s in which we tested the interaction of promoter architecture, remodeling mechanism, and/or functional category with chromatin accessibility variation</w:t>
      </w:r>
      <w:r>
        <w:t xml:space="preserve">. We tested this for functional/spatial category, promoter architecture, and remodeling mechanism and found that only promoter architecture has a significant effect on the extent to which gene expression variation can be predicted by chromatin accessibility (Figure 5C, top). Furthermore, if we contrast the Pearson correlation coefficients generated from gene expression – chromatin accessibility variation pairs for both broad and peaked promoters, we see that this result is driven by the peaked promoters, for which there is a near zero relationship between gene expression and chromatin accessibility variation (Figure 5C, bottom). </w:t>
      </w:r>
    </w:p>
    <w:p w14:paraId="40A3890F" w14:textId="7C002064" w:rsidR="004863B7" w:rsidRDefault="004863B7" w:rsidP="00800F5A"/>
    <w:p w14:paraId="61D941DB" w14:textId="3DBB3D34" w:rsidR="00407B96" w:rsidRDefault="00407B96"/>
    <w:p w14:paraId="22640199" w14:textId="0EDD32B8" w:rsidR="00741A1A" w:rsidRDefault="00407B96" w:rsidP="00800F5A">
      <w:r>
        <w:t xml:space="preserve">FIGURE LEGENDS </w:t>
      </w:r>
    </w:p>
    <w:p w14:paraId="56EF7424" w14:textId="3B4764DE" w:rsidR="00407B96" w:rsidRDefault="00407B96" w:rsidP="00800F5A"/>
    <w:p w14:paraId="11F21D97" w14:textId="2BBB2062" w:rsidR="00407B96" w:rsidRDefault="00407B96" w:rsidP="00800F5A">
      <w:r w:rsidRPr="00407B96">
        <w:rPr>
          <w:b/>
          <w:bCs/>
        </w:rPr>
        <w:t>Figure 1. Quantifying gene expression and chromatin accessibility across the genome.</w:t>
      </w:r>
      <w:r>
        <w:t xml:space="preserve"> </w:t>
      </w:r>
      <w:r w:rsidRPr="00407B96">
        <w:rPr>
          <w:b/>
          <w:bCs/>
        </w:rPr>
        <w:t>(A)</w:t>
      </w:r>
      <w:r>
        <w:t xml:space="preserve"> Imaginal wing discs were dissected from L3 larvae of two </w:t>
      </w:r>
      <w:r w:rsidRPr="00407B96">
        <w:rPr>
          <w:i/>
          <w:iCs/>
        </w:rPr>
        <w:t>D. melanogaster</w:t>
      </w:r>
      <w:r>
        <w:t xml:space="preserve"> strains separated by 10,000 years of divergence and their F1 hybrid. RNA-seq and ATAC-seq data was collected in replicates of 6 and 3 per genotype, respectively. </w:t>
      </w:r>
      <w:r w:rsidRPr="00407B96">
        <w:rPr>
          <w:b/>
          <w:bCs/>
        </w:rPr>
        <w:t>(B)</w:t>
      </w:r>
      <w:r>
        <w:t xml:space="preserve"> Genome browser for one sample of each genotype illustrating transcript abundance and chromatin accessibility at the X locus, a gene known to be active in imaginal wing discs. </w:t>
      </w:r>
      <w:r w:rsidRPr="00407B96">
        <w:rPr>
          <w:b/>
          <w:bCs/>
        </w:rPr>
        <w:t>(C, top)</w:t>
      </w:r>
      <w:r>
        <w:t xml:space="preserve"> Density plots for a representative sample showing ATAC-seq mean read count signal </w:t>
      </w:r>
      <w:r w:rsidRPr="00407B96">
        <w:rPr>
          <w:i/>
          <w:iCs/>
        </w:rPr>
        <w:t>across</w:t>
      </w:r>
      <w:r>
        <w:t xml:space="preserve"> regions of each functional category. </w:t>
      </w:r>
      <w:r w:rsidRPr="00407B96">
        <w:rPr>
          <w:b/>
          <w:bCs/>
        </w:rPr>
        <w:t>(C, bottom)</w:t>
      </w:r>
      <w:r>
        <w:t xml:space="preserve"> Heatmap showing read count signal for </w:t>
      </w:r>
      <w:r w:rsidRPr="00407B96">
        <w:rPr>
          <w:i/>
          <w:iCs/>
        </w:rPr>
        <w:t>each</w:t>
      </w:r>
      <w:r>
        <w:t xml:space="preserve"> region in all functional categories. </w:t>
      </w:r>
      <w:r w:rsidRPr="00407B96">
        <w:rPr>
          <w:b/>
          <w:bCs/>
        </w:rPr>
        <w:t>(D)</w:t>
      </w:r>
      <w:r>
        <w:t xml:space="preserve"> Pie chart showing the proportion of intragenic regions that overlapped with an intron, exon, or both.</w:t>
      </w:r>
    </w:p>
    <w:p w14:paraId="2ED79854" w14:textId="77777777" w:rsidR="00407B96" w:rsidRDefault="00407B96" w:rsidP="00800F5A"/>
    <w:p w14:paraId="50FAAD67" w14:textId="24D93BB3" w:rsidR="007B4206" w:rsidRPr="007B4206" w:rsidRDefault="007B4206" w:rsidP="00800F5A">
      <w:r w:rsidRPr="007B4206">
        <w:rPr>
          <w:b/>
          <w:bCs/>
        </w:rPr>
        <w:t xml:space="preserve">Figure 2. Intergenic regions exhibit the most chromatin accessibility divergence and percentage contribution of </w:t>
      </w:r>
      <w:r w:rsidRPr="007B4206">
        <w:rPr>
          <w:b/>
          <w:bCs/>
          <w:i/>
          <w:iCs/>
        </w:rPr>
        <w:t xml:space="preserve">cis </w:t>
      </w:r>
      <w:r w:rsidRPr="007B4206">
        <w:rPr>
          <w:b/>
          <w:bCs/>
        </w:rPr>
        <w:t>changes. (A)</w:t>
      </w:r>
      <w:r>
        <w:t xml:space="preserve"> Chromatin accessibility divergence </w:t>
      </w:r>
      <w:r w:rsidR="008354D7">
        <w:t>was estimated for</w:t>
      </w:r>
      <w:r>
        <w:t xml:space="preserve"> parental strain and hybrid allele</w:t>
      </w:r>
      <w:r w:rsidR="008354D7">
        <w:t xml:space="preserve"> comparisons</w:t>
      </w:r>
      <w:r>
        <w:t xml:space="preserve"> and plotted on the x- and y-axes, respectively. </w:t>
      </w:r>
      <w:r w:rsidRPr="007B4206">
        <w:rPr>
          <w:b/>
          <w:bCs/>
        </w:rPr>
        <w:t>(B)</w:t>
      </w:r>
      <w:r>
        <w:t xml:space="preserve"> Smoothed histograms of the calculated metric: percentage of accessibility divergence due to </w:t>
      </w:r>
      <w:r>
        <w:rPr>
          <w:i/>
          <w:iCs/>
        </w:rPr>
        <w:t xml:space="preserve">cis </w:t>
      </w:r>
      <w:r>
        <w:t>changes</w:t>
      </w:r>
      <w:r w:rsidR="00A41D63">
        <w:t xml:space="preserve">, showing that for most regions the majority of chromatin accessibility divergence is due to </w:t>
      </w:r>
      <w:r w:rsidR="00A41D63">
        <w:rPr>
          <w:i/>
          <w:iCs/>
        </w:rPr>
        <w:t xml:space="preserve">cis </w:t>
      </w:r>
      <w:r w:rsidR="00A41D63">
        <w:t>changes</w:t>
      </w:r>
      <w:r w:rsidRPr="007B4206">
        <w:t>.</w:t>
      </w:r>
      <w:r w:rsidRPr="007B4206">
        <w:rPr>
          <w:b/>
          <w:bCs/>
        </w:rPr>
        <w:t xml:space="preserve"> (C)</w:t>
      </w:r>
      <w:r>
        <w:t xml:space="preserve"> Boxplots comparing the distribution of estimated parental accessibility divergence (absolute value) across functional categories. </w:t>
      </w:r>
      <w:r w:rsidRPr="007B4206">
        <w:rPr>
          <w:b/>
          <w:bCs/>
        </w:rPr>
        <w:t>(D)</w:t>
      </w:r>
      <w:r>
        <w:t xml:space="preserve"> Boxplots comparing the distribution of percentage of accessibility divergence due to </w:t>
      </w:r>
      <w:r>
        <w:rPr>
          <w:i/>
          <w:iCs/>
        </w:rPr>
        <w:t xml:space="preserve">cis </w:t>
      </w:r>
      <w:r>
        <w:t xml:space="preserve">changes access across functional categories. Boxplot notches indicate 95% confidence of median. </w:t>
      </w:r>
    </w:p>
    <w:p w14:paraId="6420E6C6" w14:textId="77777777" w:rsidR="007B4206" w:rsidRDefault="007B4206" w:rsidP="00800F5A"/>
    <w:p w14:paraId="5DB4DB67" w14:textId="35EA3AD2" w:rsidR="008354D7" w:rsidRPr="008354D7" w:rsidRDefault="007B4206" w:rsidP="007B4206">
      <w:r w:rsidRPr="007B4206">
        <w:rPr>
          <w:b/>
          <w:bCs/>
        </w:rPr>
        <w:t xml:space="preserve">Figure </w:t>
      </w:r>
      <w:r>
        <w:rPr>
          <w:b/>
          <w:bCs/>
        </w:rPr>
        <w:t>3</w:t>
      </w:r>
      <w:r w:rsidRPr="007B4206">
        <w:rPr>
          <w:b/>
          <w:bCs/>
        </w:rPr>
        <w:t xml:space="preserve">. </w:t>
      </w:r>
      <w:r w:rsidR="008354D7">
        <w:rPr>
          <w:b/>
          <w:bCs/>
        </w:rPr>
        <w:t>Narrow promoter architectures are more accessible and exhibit different accessibility evolutionary patterns than broad promoter architectures</w:t>
      </w:r>
      <w:r w:rsidRPr="007B4206">
        <w:rPr>
          <w:b/>
          <w:bCs/>
        </w:rPr>
        <w:t>. (A</w:t>
      </w:r>
      <w:r w:rsidR="008354D7">
        <w:rPr>
          <w:b/>
          <w:bCs/>
        </w:rPr>
        <w:t>, top</w:t>
      </w:r>
      <w:r w:rsidRPr="007B4206">
        <w:rPr>
          <w:b/>
          <w:bCs/>
        </w:rPr>
        <w:t>)</w:t>
      </w:r>
      <w:r>
        <w:t xml:space="preserve"> </w:t>
      </w:r>
      <w:r w:rsidR="008354D7">
        <w:t>Density plot for a representative sample showing ATAC-seq mean read count signal for TSS regions of broad (blue) and peaked (green) promoters</w:t>
      </w:r>
      <w:r w:rsidR="008354D7" w:rsidRPr="008354D7">
        <w:t>.</w:t>
      </w:r>
      <w:r w:rsidR="008354D7" w:rsidRPr="008354D7">
        <w:rPr>
          <w:b/>
          <w:bCs/>
        </w:rPr>
        <w:t xml:space="preserve"> (A, bottom</w:t>
      </w:r>
      <w:r w:rsidR="008354D7">
        <w:rPr>
          <w:b/>
          <w:bCs/>
        </w:rPr>
        <w:t xml:space="preserve">) </w:t>
      </w:r>
      <w:r w:rsidR="008354D7">
        <w:t>Heatmap showing read count signal for TSS regions of each broad (top heatmap) and peaked (bottom heatmap) promoter region</w:t>
      </w:r>
      <w:r w:rsidR="00A41D63">
        <w:t>, showing that narrow promoters tend to have more accessible chromatin</w:t>
      </w:r>
      <w:r w:rsidR="008354D7">
        <w:t xml:space="preserve">. </w:t>
      </w:r>
      <w:r w:rsidR="008354D7" w:rsidRPr="008354D7">
        <w:rPr>
          <w:b/>
          <w:bCs/>
        </w:rPr>
        <w:t>(B)</w:t>
      </w:r>
      <w:r w:rsidR="008354D7">
        <w:t xml:space="preserve"> Boxplots comparing the distribution of estimated parental accessibility divergence (absolute value) between TSS regions of broad and narrow promoters. </w:t>
      </w:r>
      <w:r w:rsidR="008354D7" w:rsidRPr="008354D7">
        <w:rPr>
          <w:b/>
          <w:bCs/>
        </w:rPr>
        <w:t>(C)</w:t>
      </w:r>
      <w:r w:rsidR="008354D7">
        <w:rPr>
          <w:b/>
          <w:bCs/>
        </w:rPr>
        <w:t xml:space="preserve"> </w:t>
      </w:r>
      <w:r w:rsidR="008354D7">
        <w:t xml:space="preserve">Boxplots comparing the distribution of percentage of accessibility divergence due to </w:t>
      </w:r>
      <w:r w:rsidR="008354D7">
        <w:rPr>
          <w:i/>
          <w:iCs/>
        </w:rPr>
        <w:t xml:space="preserve">cis </w:t>
      </w:r>
      <w:r w:rsidR="008354D7">
        <w:t>changes access between TSS regions of broad and narrow promoters. Boxplot notches indicate 95% confidence of median.</w:t>
      </w:r>
    </w:p>
    <w:p w14:paraId="27D90B82" w14:textId="77777777" w:rsidR="008354D7" w:rsidRDefault="008354D7" w:rsidP="007B4206"/>
    <w:p w14:paraId="1FDA9555" w14:textId="32CCE459" w:rsidR="007B4206" w:rsidRDefault="008354D7" w:rsidP="007B4206">
      <w:pPr>
        <w:rPr>
          <w:i/>
          <w:iCs/>
        </w:rPr>
      </w:pPr>
      <w:r w:rsidRPr="007B4206">
        <w:rPr>
          <w:b/>
          <w:bCs/>
        </w:rPr>
        <w:t xml:space="preserve">Figure </w:t>
      </w:r>
      <w:r>
        <w:rPr>
          <w:b/>
          <w:bCs/>
        </w:rPr>
        <w:t>4</w:t>
      </w:r>
      <w:r w:rsidRPr="007B4206">
        <w:rPr>
          <w:b/>
          <w:bCs/>
        </w:rPr>
        <w:t xml:space="preserve">. </w:t>
      </w:r>
      <w:r>
        <w:rPr>
          <w:b/>
          <w:bCs/>
        </w:rPr>
        <w:t>Sequence variation in pioneer factor-mediated</w:t>
      </w:r>
      <w:r w:rsidRPr="007B4206">
        <w:rPr>
          <w:b/>
          <w:bCs/>
        </w:rPr>
        <w:t xml:space="preserve"> regions </w:t>
      </w:r>
      <w:r>
        <w:rPr>
          <w:b/>
          <w:bCs/>
        </w:rPr>
        <w:t>has a larger effect on chromatin accessibility divergence</w:t>
      </w:r>
      <w:r w:rsidRPr="007B4206">
        <w:rPr>
          <w:b/>
          <w:bCs/>
        </w:rPr>
        <w:t>.</w:t>
      </w:r>
      <w:r>
        <w:t xml:space="preserve"> For regions classified as pioneer factor-mediated and other mechanism, boxplots comparing the distribution of </w:t>
      </w:r>
      <w:r w:rsidRPr="008354D7">
        <w:rPr>
          <w:b/>
          <w:bCs/>
        </w:rPr>
        <w:t>(A)</w:t>
      </w:r>
      <w:r>
        <w:t xml:space="preserve"> estimated parental accessibility divergence (absolute value), </w:t>
      </w:r>
      <w:r w:rsidR="007B4206" w:rsidRPr="007B4206">
        <w:rPr>
          <w:b/>
          <w:bCs/>
        </w:rPr>
        <w:t>(B)</w:t>
      </w:r>
      <w:r w:rsidR="007B4206">
        <w:t xml:space="preserve"> percentage of accessibility divergence due to </w:t>
      </w:r>
      <w:r w:rsidR="007B4206">
        <w:rPr>
          <w:i/>
          <w:iCs/>
        </w:rPr>
        <w:t xml:space="preserve">cis </w:t>
      </w:r>
      <w:r w:rsidR="007B4206">
        <w:t>changes</w:t>
      </w:r>
      <w:r>
        <w:t xml:space="preserve">, and </w:t>
      </w:r>
      <w:r w:rsidRPr="008354D7">
        <w:rPr>
          <w:b/>
          <w:bCs/>
        </w:rPr>
        <w:t>(C)</w:t>
      </w:r>
      <w:r>
        <w:t xml:space="preserve"> the average amount of cis-regulatory divergence per nucleotide variant in each region, calculated by log transforming the from the absolute value of estimated hybrid allelic difference (i.e. chromatin accessibility divergence due to </w:t>
      </w:r>
      <w:r>
        <w:rPr>
          <w:i/>
          <w:iCs/>
        </w:rPr>
        <w:t xml:space="preserve">cis </w:t>
      </w:r>
      <w:r>
        <w:t xml:space="preserve">regulatory changes) by the number of nucleotide variants for each region. </w:t>
      </w:r>
      <w:r w:rsidR="007B4206">
        <w:t xml:space="preserve">Boxplot notches indicate 95% confidence of median. </w:t>
      </w:r>
      <w:r w:rsidRPr="008354D7">
        <w:rPr>
          <w:b/>
          <w:bCs/>
        </w:rPr>
        <w:t>(D)</w:t>
      </w:r>
      <w:r>
        <w:rPr>
          <w:b/>
          <w:bCs/>
        </w:rPr>
        <w:t xml:space="preserve"> </w:t>
      </w:r>
      <w:r>
        <w:rPr>
          <w:i/>
          <w:iCs/>
        </w:rPr>
        <w:t>Something related to predicted TFBS changes???</w:t>
      </w:r>
    </w:p>
    <w:p w14:paraId="796100DF" w14:textId="196B6359" w:rsidR="008354D7" w:rsidRDefault="008354D7" w:rsidP="007B4206">
      <w:pPr>
        <w:rPr>
          <w:i/>
          <w:iCs/>
        </w:rPr>
      </w:pPr>
    </w:p>
    <w:p w14:paraId="705E4628" w14:textId="08870FFE" w:rsidR="008354D7" w:rsidRDefault="008354D7" w:rsidP="00800F5A">
      <w:r w:rsidRPr="008354D7">
        <w:rPr>
          <w:b/>
          <w:bCs/>
        </w:rPr>
        <w:t>Figure 5. Promoter architecture influences the</w:t>
      </w:r>
      <w:r>
        <w:rPr>
          <w:b/>
          <w:bCs/>
        </w:rPr>
        <w:t xml:space="preserve"> extent to which</w:t>
      </w:r>
      <w:r w:rsidRPr="008354D7">
        <w:rPr>
          <w:b/>
          <w:bCs/>
        </w:rPr>
        <w:t xml:space="preserve"> chromatin accessibility </w:t>
      </w:r>
      <w:r>
        <w:rPr>
          <w:b/>
          <w:bCs/>
        </w:rPr>
        <w:t>divergence can predict</w:t>
      </w:r>
      <w:r w:rsidRPr="008354D7">
        <w:rPr>
          <w:b/>
          <w:bCs/>
        </w:rPr>
        <w:t xml:space="preserve"> gene expression divergence. </w:t>
      </w:r>
      <w:r>
        <w:rPr>
          <w:b/>
          <w:bCs/>
        </w:rPr>
        <w:t xml:space="preserve">(A) </w:t>
      </w:r>
      <w:r>
        <w:t xml:space="preserve">Schematic depicting the bioinformatic approach used to pair accessible regions with expressed genes. </w:t>
      </w:r>
      <w:r w:rsidRPr="008354D7">
        <w:rPr>
          <w:b/>
          <w:bCs/>
        </w:rPr>
        <w:t>(B)</w:t>
      </w:r>
      <w:r>
        <w:t xml:space="preserve"> The chromatin accessibility (x-axis) and gene expression (y-axis) divergence estimated values are shown as a scatterplot for each of the region – gene pair. Points are colored by density as indicated by the legend. Pearson correlation coefficient is provided at the bottom right of the plot, indicating the weak correlation between chromatin accessibility and gene expression divergence. </w:t>
      </w:r>
      <w:r w:rsidRPr="008354D7">
        <w:rPr>
          <w:b/>
          <w:bCs/>
        </w:rPr>
        <w:t>(C</w:t>
      </w:r>
      <w:r>
        <w:rPr>
          <w:b/>
          <w:bCs/>
        </w:rPr>
        <w:t>, top</w:t>
      </w:r>
      <w:r w:rsidRPr="008354D7">
        <w:rPr>
          <w:b/>
          <w:bCs/>
        </w:rPr>
        <w:t>)</w:t>
      </w:r>
      <w:r>
        <w:t xml:space="preserve"> Table providing Pearson correlation coefficients relating chromatin accessibility and gene expression divergence for each class of region (top), </w:t>
      </w:r>
      <w:r w:rsidRPr="008354D7">
        <w:rPr>
          <w:b/>
          <w:bCs/>
        </w:rPr>
        <w:t>(C, bottom)</w:t>
      </w:r>
      <w:r>
        <w:t xml:space="preserve"> as well as results of an analysis of covariance (ACOVA), in which the regression lines of the predictor and response variables (chromatin accessibility and gene expression divergence) are compared for the different levels within each categorical variable (functional region, promoter architecture, and remodeling mechanism). </w:t>
      </w:r>
    </w:p>
    <w:p w14:paraId="3CF55FAE" w14:textId="0ABB3866" w:rsidR="00407B96" w:rsidRPr="008354D7" w:rsidRDefault="008354D7" w:rsidP="00800F5A">
      <w:r>
        <w:t xml:space="preserve"> </w:t>
      </w:r>
    </w:p>
    <w:sectPr w:rsidR="00407B96" w:rsidRPr="00835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621BD"/>
    <w:multiLevelType w:val="hybridMultilevel"/>
    <w:tmpl w:val="62DABB92"/>
    <w:lvl w:ilvl="0" w:tplc="4E28DB5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13"/>
    <w:rsid w:val="00010232"/>
    <w:rsid w:val="00035CD9"/>
    <w:rsid w:val="000831A5"/>
    <w:rsid w:val="000B20D7"/>
    <w:rsid w:val="000B6667"/>
    <w:rsid w:val="000D6960"/>
    <w:rsid w:val="0011395E"/>
    <w:rsid w:val="00191E96"/>
    <w:rsid w:val="001A4D5C"/>
    <w:rsid w:val="002318CE"/>
    <w:rsid w:val="00252457"/>
    <w:rsid w:val="00265523"/>
    <w:rsid w:val="0028684F"/>
    <w:rsid w:val="002E1FA6"/>
    <w:rsid w:val="003910BF"/>
    <w:rsid w:val="003B51F7"/>
    <w:rsid w:val="003C5C7D"/>
    <w:rsid w:val="003F5E7A"/>
    <w:rsid w:val="00407B96"/>
    <w:rsid w:val="00412887"/>
    <w:rsid w:val="00415677"/>
    <w:rsid w:val="004345E0"/>
    <w:rsid w:val="004358B5"/>
    <w:rsid w:val="0044674A"/>
    <w:rsid w:val="004863B7"/>
    <w:rsid w:val="004A4B23"/>
    <w:rsid w:val="004B6C13"/>
    <w:rsid w:val="00507656"/>
    <w:rsid w:val="00616323"/>
    <w:rsid w:val="006361F6"/>
    <w:rsid w:val="006B58B0"/>
    <w:rsid w:val="00714D93"/>
    <w:rsid w:val="00740F04"/>
    <w:rsid w:val="00741A1A"/>
    <w:rsid w:val="00743EB8"/>
    <w:rsid w:val="007977A9"/>
    <w:rsid w:val="007B4206"/>
    <w:rsid w:val="00800F5A"/>
    <w:rsid w:val="00804659"/>
    <w:rsid w:val="008354D7"/>
    <w:rsid w:val="008644F7"/>
    <w:rsid w:val="00903CAF"/>
    <w:rsid w:val="009C37DD"/>
    <w:rsid w:val="00A06D32"/>
    <w:rsid w:val="00A41D63"/>
    <w:rsid w:val="00A63184"/>
    <w:rsid w:val="00AE43E5"/>
    <w:rsid w:val="00B62574"/>
    <w:rsid w:val="00B64E1C"/>
    <w:rsid w:val="00BA49A0"/>
    <w:rsid w:val="00BB73B9"/>
    <w:rsid w:val="00BE573A"/>
    <w:rsid w:val="00C153BD"/>
    <w:rsid w:val="00C66EFD"/>
    <w:rsid w:val="00C670AE"/>
    <w:rsid w:val="00CB026C"/>
    <w:rsid w:val="00CF6A7D"/>
    <w:rsid w:val="00D03396"/>
    <w:rsid w:val="00DA56D5"/>
    <w:rsid w:val="00DD0F96"/>
    <w:rsid w:val="00DD6C40"/>
    <w:rsid w:val="00DF7D2C"/>
    <w:rsid w:val="00E90579"/>
    <w:rsid w:val="00F42C80"/>
    <w:rsid w:val="00FE25D1"/>
    <w:rsid w:val="00FF7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FA06"/>
  <w15:chartTrackingRefBased/>
  <w15:docId w15:val="{9F1E4010-C018-6347-B9AC-A6FC82F6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B8826-6B7C-9846-A57E-3DC975BB4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12550</Words>
  <Characters>71538</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Ertl, Henry</dc:creator>
  <cp:keywords/>
  <dc:description/>
  <cp:lastModifiedBy>Henry Ertl</cp:lastModifiedBy>
  <cp:revision>3</cp:revision>
  <dcterms:created xsi:type="dcterms:W3CDTF">2021-07-04T15:41:00Z</dcterms:created>
  <dcterms:modified xsi:type="dcterms:W3CDTF">2021-07-14T18:45:00Z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f253108c-f117-362c-a4d4-1afc7e960fe4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