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imHei" w:hAnsi="SimHei" w:eastAsia="SimHei"/>
          <w:b/>
          <w:sz w:val="56"/>
        </w:rPr>
        <w:t>测试方案书</w:t>
      </w:r>
    </w:p>
    <w:p/>
    <w:p>
      <w:pPr>
        <w:jc w:val="center"/>
      </w:pPr>
      <w:r>
        <w:rPr>
          <w:rFonts w:ascii="SimSun" w:hAnsi="SimSun" w:eastAsia="SimSun"/>
          <w:sz w:val="36"/>
        </w:rPr>
        <w:t>智能匹配生成报告</w:t>
      </w:r>
    </w:p>
    <w:p/>
    <w:p/>
    <w:p>
      <w:pPr>
        <w:jc w:val="center"/>
      </w:pPr>
      <w:r>
        <w:rPr>
          <w:sz w:val="26"/>
        </w:rPr>
        <w:t>客户：示例客户</w:t>
      </w:r>
    </w:p>
    <w:p>
      <w:pPr>
        <w:jc w:val="center"/>
      </w:pPr>
      <w:r>
        <w:rPr>
          <w:sz w:val="24"/>
        </w:rPr>
        <w:t>生成日期：2026年07月13日</w:t>
      </w:r>
    </w:p>
    <w:p/>
    <w:p>
      <w:pPr>
        <w:jc w:val="center"/>
      </w:pPr>
      <w:r>
        <w:rPr>
          <w:color w:val="888888"/>
          <w:sz w:val="22"/>
        </w:rPr>
        <w:t>华为云 · 解决方案智能匹配自动生成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 录</w:t>
      </w:r>
    </w:p>
    <w:p/>
    <w:p>
      <w:r>
        <w:t>1. 执行摘要</w:t>
      </w:r>
    </w:p>
    <w:p>
      <w:r>
        <w:t>2. 产品组合与定位</w:t>
      </w:r>
    </w:p>
    <w:p>
      <w:r>
        <w:t>3. 实施路径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SimSun" w:hAnsi="SimSun" w:eastAsia="SimSun"/>
          <w:b w:val="0"/>
          <w:i w:val="0"/>
          <w:sz w:val="22"/>
        </w:rPr>
        <w:t>本方案为</w:t>
      </w:r>
      <w:r>
        <w:rPr>
          <w:rFonts w:ascii="SimSun" w:hAnsi="SimSun" w:eastAsia="SimSun"/>
          <w:b/>
          <w:i w:val="0"/>
          <w:sz w:val="22"/>
        </w:rPr>
        <w:t>大型工业互联网企业</w:t>
      </w:r>
      <w:r>
        <w:rPr>
          <w:rFonts w:ascii="SimSun" w:hAnsi="SimSun" w:eastAsia="SimSun"/>
          <w:b w:val="0"/>
          <w:i w:val="0"/>
          <w:sz w:val="22"/>
        </w:rPr>
        <w:t>提供预测性维护能力，三大要点：降本、增效、控风险。</w:t>
      </w:r>
    </w:p>
    <w:p>
      <w:pPr>
        <w:pStyle w:val="Heading1"/>
      </w:pPr>
      <w:r>
        <w:t>2. 产品组合与定位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SimSun" w:hAnsi="SimSun" w:eastAsia="SimSun"/>
                <w:b/>
                <w:i w:val="0"/>
                <w:sz w:val="22"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SimSun" w:hAnsi="SimSun" w:eastAsia="SimSun"/>
                <w:b/>
                <w:i w:val="0"/>
                <w:sz w:val="22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SimSun" w:hAnsi="SimSun" w:eastAsia="SimSun"/>
                <w:b/>
                <w:i w:val="0"/>
                <w:sz w:val="22"/>
              </w:rPr>
              <w:t>关键能力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SimSun" w:hAnsi="SimSun" w:eastAsia="SimSun"/>
                <w:b/>
                <w:i w:val="0"/>
                <w:sz w:val="22"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</w:r>
            <w:r>
              <w:rPr>
                <w:rFonts w:ascii="SimSun" w:hAnsi="SimSun" w:eastAsia="SimSun"/>
                <w:b w:val="0"/>
                <w:i w:val="0"/>
                <w:sz w:val="22"/>
              </w:rPr>
              <w:t>IoTDA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  <w:r>
              <w:rPr>
                <w:rFonts w:ascii="SimSun" w:hAnsi="SimSun" w:eastAsia="SimSun"/>
                <w:b w:val="0"/>
                <w:i w:val="0"/>
                <w:sz w:val="22"/>
              </w:rPr>
              <w:t>设备接入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  <w:r>
              <w:rPr>
                <w:rFonts w:ascii="SimSun" w:hAnsi="SimSun" w:eastAsia="SimSun"/>
                <w:b w:val="0"/>
                <w:i w:val="0"/>
                <w:sz w:val="22"/>
              </w:rPr>
              <w:t>百万级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  <w:r>
              <w:rPr>
                <w:rFonts w:ascii="SimSun" w:hAnsi="SimSun" w:eastAsia="SimSun"/>
                <w:b w:val="0"/>
                <w:i w:val="0"/>
                <w:sz w:val="22"/>
              </w:rPr>
              <w:t>工厂侧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</w:r>
            <w:r>
              <w:rPr>
                <w:rFonts w:ascii="SimSun" w:hAnsi="SimSun" w:eastAsia="SimSun"/>
                <w:b w:val="0"/>
                <w:i w:val="0"/>
                <w:sz w:val="22"/>
              </w:rPr>
              <w:t>ModelArts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  <w:r>
              <w:rPr>
                <w:rFonts w:ascii="SimSun" w:hAnsi="SimSun" w:eastAsia="SimSun"/>
                <w:b w:val="0"/>
                <w:i w:val="0"/>
                <w:sz w:val="22"/>
              </w:rPr>
              <w:t>AI训练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  <w:r>
              <w:rPr>
                <w:rFonts w:ascii="SimSun" w:hAnsi="SimSun" w:eastAsia="SimSun"/>
                <w:b w:val="0"/>
                <w:i w:val="0"/>
                <w:sz w:val="22"/>
              </w:rPr>
              <w:t>自动学习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  <w:r>
              <w:rPr>
                <w:rFonts w:ascii="SimSun" w:hAnsi="SimSun" w:eastAsia="SimSun"/>
                <w:b w:val="0"/>
                <w:i w:val="0"/>
                <w:sz w:val="22"/>
              </w:rPr>
              <w:t>预测模型</w:t>
            </w:r>
          </w:p>
        </w:tc>
      </w:tr>
    </w:tbl>
    <w:p/>
    <w:p>
      <w:pPr>
        <w:pStyle w:val="Heading1"/>
      </w:pPr>
      <w:r>
        <w:t>3. 实施路径</w:t>
      </w:r>
    </w:p>
    <w:p>
      <w:r>
        <w:rPr>
          <w:rFonts w:ascii="SimSun" w:hAnsi="SimSun" w:eastAsia="SimSun"/>
          <w:b w:val="0"/>
          <w:i w:val="0"/>
          <w:sz w:val="22"/>
        </w:rPr>
        <w:t>分三阶段推进。</w:t>
      </w:r>
    </w:p>
    <w:p>
      <w:pPr>
        <w:pStyle w:val="Heading2"/>
      </w:pPr>
      <w:r>
        <w:t>阶段一：试点搭建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2"/>
        </w:rPr>
        <w:t>选1-2条产线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2"/>
        </w:rPr>
        <w:t>部署边缘节点</w:t>
      </w:r>
    </w:p>
    <w:p>
      <w:pPr>
        <w:pStyle w:val="Heading2"/>
      </w:pPr>
      <w:r>
        <w:t>阶段二：模型训练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2"/>
        </w:rPr>
        <w:t>训练模型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2"/>
        </w:rPr>
        <w:t>配置策略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