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56"/>
        </w:rPr>
        <w:t>MD路径测试</w:t>
      </w:r>
    </w:p>
    <w:p/>
    <w:p>
      <w:pPr>
        <w:jc w:val="center"/>
      </w:pPr>
      <w:r>
        <w:rPr>
          <w:rFonts w:ascii="SimSun" w:hAnsi="SimSun" w:eastAsia="SimSun"/>
          <w:sz w:val="36"/>
        </w:rPr>
        <w:t>智能匹配生成报告</w:t>
      </w:r>
    </w:p>
    <w:p/>
    <w:p/>
    <w:p>
      <w:pPr>
        <w:jc w:val="center"/>
      </w:pPr>
      <w:r>
        <w:rPr>
          <w:sz w:val="26"/>
        </w:rPr>
        <w:t>客户：X</w:t>
      </w:r>
    </w:p>
    <w:p>
      <w:pPr>
        <w:jc w:val="center"/>
      </w:pPr>
      <w:r>
        <w:rPr>
          <w:sz w:val="24"/>
        </w:rPr>
        <w:t>生成日期：2026年07月13日</w:t>
      </w:r>
    </w:p>
    <w:p/>
    <w:p>
      <w:pPr>
        <w:jc w:val="center"/>
      </w:pPr>
      <w:r>
        <w:rPr>
          <w:color w:val="888888"/>
          <w:sz w:val="22"/>
        </w:rPr>
        <w:t>华为云 · 解决方案智能匹配自动生成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录</w:t>
      </w:r>
    </w:p>
    <w:p/>
    <w:p>
      <w:r>
        <w:t>1. 执行摘要</w:t>
      </w:r>
    </w:p>
    <w:p>
      <w:r>
        <w:t>2. 需求分析</w:t>
      </w:r>
    </w:p>
    <w:p>
      <w:r>
        <w:t>3. 产品组合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SimSun" w:hAnsi="SimSun" w:eastAsia="SimSun"/>
          <w:b w:val="0"/>
          <w:i w:val="0"/>
          <w:sz w:val="22"/>
        </w:rPr>
        <w:t>为</w:t>
      </w:r>
      <w:r>
        <w:rPr>
          <w:rFonts w:ascii="SimSun" w:hAnsi="SimSun" w:eastAsia="SimSun"/>
          <w:b/>
          <w:i w:val="0"/>
          <w:sz w:val="22"/>
        </w:rPr>
        <w:t>客户</w:t>
      </w:r>
      <w:r>
        <w:rPr>
          <w:rFonts w:ascii="SimSun" w:hAnsi="SimSun" w:eastAsia="SimSun"/>
          <w:b w:val="0"/>
          <w:i w:val="0"/>
          <w:sz w:val="22"/>
        </w:rPr>
        <w:t>提供一站式方案，三大价值：降本、增效、控风险。</w:t>
      </w:r>
    </w:p>
    <w:p>
      <w:pPr>
        <w:pStyle w:val="Heading1"/>
      </w:pPr>
      <w:r>
        <w:t>2. 需求分析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2"/>
        </w:rPr>
        <w:t>痛点一：设备停机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2"/>
        </w:rPr>
        <w:t>痛点二：数据孤岛</w:t>
      </w:r>
    </w:p>
    <w:p>
      <w:pPr>
        <w:pStyle w:val="Heading1"/>
      </w:pPr>
      <w:r>
        <w:t>3. 产品组合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SimSun" w:hAnsi="SimSun" w:eastAsia="SimSun"/>
                <w:b/>
                <w:i w:val="0"/>
                <w:sz w:val="22"/>
              </w:rPr>
              <w:t>关键能力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IoTDA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接入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  <w:r>
              <w:rPr>
                <w:rFonts w:ascii="SimSun" w:hAnsi="SimSun" w:eastAsia="SimSun"/>
                <w:b w:val="0"/>
                <w:i w:val="0"/>
                <w:sz w:val="22"/>
              </w:rPr>
              <w:t>百万级</w:t>
            </w:r>
          </w:p>
        </w:tc>
      </w:tr>
    </w:tbl>
    <w:p/>
    <w:p>
      <w:pPr>
        <w:pBdr>
          <w:bottom w:val="single" w:sz="6" w:space="1" w:color="BBBBBB"/>
        </w:pBdr>
      </w:pPr>
    </w:p>
    <w:p>
      <w:r>
        <w:rPr>
          <w:rFonts w:ascii="SimSun" w:hAnsi="SimSun" w:eastAsia="SimSun"/>
          <w:b w:val="0"/>
          <w:i w:val="0"/>
          <w:sz w:val="22"/>
        </w:rPr>
        <w:t>说明结束。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