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Helix Atlas™ Product Brief</w:t>
      </w:r>
    </w:p>
    <w:p>
      <w:r>
        <w:rPr>
          <w:i/>
          <w:sz w:val="18"/>
        </w:rPr>
        <w:t>Working draft v0.8 · Product Marketing · September 18, 2026</w:t>
      </w:r>
    </w:p>
    <w:p>
      <w:r>
        <w:rPr>
          <w:b/>
        </w:rPr>
        <w:t xml:space="preserve">Short version. </w:t>
      </w:r>
      <w:r>
        <w:t>Atlas is a spatial protein profiling service for translational oncology teams that want to get useful biology out of archived FFPE tissue without first building a custom assay program.</w:t>
      </w:r>
    </w:p>
    <w:p>
      <w:pPr>
        <w:pStyle w:val="Heading1"/>
      </w:pPr>
      <w:r>
        <w:t>What the customer is buying</w:t>
      </w:r>
    </w:p>
    <w:p>
      <w:r>
        <w:t>This is a service, not an instrument install. The current standard workflow includes:</w:t>
      </w:r>
    </w:p>
    <w:p>
      <w:pPr>
        <w:pStyle w:val="ListBullet"/>
      </w:pPr>
      <w:r>
        <w:t>48-marker protein panel</w:t>
      </w:r>
    </w:p>
    <w:p>
      <w:pPr>
        <w:pStyle w:val="ListBullet"/>
      </w:pPr>
      <w:r>
        <w:t>morphology-guided ROI selection</w:t>
      </w:r>
    </w:p>
    <w:p>
      <w:pPr>
        <w:pStyle w:val="ListBullet"/>
      </w:pPr>
      <w:r>
        <w:t>tumor / immune / stromal segmentation</w:t>
      </w:r>
    </w:p>
    <w:p>
      <w:pPr>
        <w:pStyle w:val="ListBullet"/>
      </w:pPr>
      <w:r>
        <w:t>standard QC and sample-level reporting</w:t>
      </w:r>
    </w:p>
    <w:p>
      <w:pPr>
        <w:pStyle w:val="ListBullet"/>
      </w:pPr>
      <w:r>
        <w:t>scientific interpretation summary</w:t>
      </w:r>
    </w:p>
    <w:p>
      <w:pPr>
        <w:pStyle w:val="ListBullet"/>
      </w:pPr>
      <w:r>
        <w:t>raw data export on request</w:t>
      </w:r>
    </w:p>
    <w:p>
      <w:pPr>
        <w:pStyle w:val="Heading1"/>
      </w:pPr>
      <w:r>
        <w:t>Where I think the value is</w:t>
      </w:r>
    </w:p>
    <w:p>
      <w:r>
        <w:t>The obvious pain point is not that customers lack spatial technologies. A lot of them already have access to something. The problem is getting from archived tissue to an interpretable result without a long assay-development cycle, a new instrument workflow, or a pile of analysis that the translational team has to sort out themselves.</w:t>
      </w:r>
    </w:p>
    <w:p>
      <w:pPr>
        <w:pStyle w:val="Heading1"/>
      </w:pPr>
      <w:r>
        <w:t>Turnaround and sample assumptions</w:t>
      </w:r>
    </w:p>
    <w:p>
      <w:r>
        <w:t>Operations is currently planning around 21 calendar days from sample acceptance to report. Commercial has used 'two weeks' in a few early conversations as a future-state goal. We should not put 14 days into approved material yet.</w:t>
      </w:r>
    </w:p>
    <w:p>
      <w:r>
        <w:t>Preferred input is one 5 µm FFPE section per specimen, with at least ~8 mm² usable tissue. We have completed some work below that, but we have not validated a hard lower bound.</w:t>
      </w:r>
    </w:p>
    <w:p>
      <w:pPr>
        <w:pStyle w:val="Heading1"/>
      </w:pPr>
      <w:r>
        <w:t>Claims I would avoid for now</w:t>
      </w:r>
    </w:p>
    <w:p>
      <w:pPr>
        <w:pStyle w:val="ListBullet"/>
      </w:pPr>
      <w:r>
        <w:t>predicts response</w:t>
      </w:r>
    </w:p>
    <w:p>
      <w:pPr>
        <w:pStyle w:val="ListBullet"/>
      </w:pPr>
      <w:r>
        <w:t>clinically validated</w:t>
      </w:r>
    </w:p>
    <w:p>
      <w:pPr>
        <w:pStyle w:val="ListBullet"/>
      </w:pPr>
      <w:r>
        <w:t>diagnostic</w:t>
      </w:r>
    </w:p>
    <w:p>
      <w:pPr>
        <w:pStyle w:val="ListBullet"/>
      </w:pPr>
      <w:r>
        <w:t>best-in-class</w:t>
      </w:r>
    </w:p>
    <w:p>
      <w:pPr>
        <w:pStyle w:val="ListBullet"/>
      </w:pPr>
      <w:r>
        <w:t>industry-leading sensitivity</w:t>
      </w:r>
    </w:p>
    <w:p>
      <w:pPr>
        <w:pStyle w:val="ListBullet"/>
      </w:pPr>
      <w:r>
        <w:t>works from one slide every time</w:t>
      </w:r>
    </w:p>
    <w:p>
      <w:r>
        <w:rPr>
          <w:b/>
        </w:rPr>
        <w:t>RUO: For Research Use Only. Not for use in diagnostic procedures.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