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 external claims notes</w:t>
      </w:r>
    </w:p>
    <w:p>
      <w:r>
        <w:rPr>
          <w:i/>
          <w:sz w:val="18"/>
        </w:rPr>
        <w:t>Legal / Scientific Affairs · September 25, 2026</w:t>
      </w:r>
    </w:p>
    <w:p>
      <w:r>
        <w:t>This is not a complete promotional review. It is a working guardrail for the current sales materials.</w:t>
      </w:r>
    </w:p>
    <w:p>
      <w:pPr>
        <w:pStyle w:val="Heading1"/>
      </w:pPr>
      <w:r>
        <w:t>Required</w:t>
      </w:r>
    </w:p>
    <w:p>
      <w:r>
        <w:t>For Research Use Only. Not for use in diagnostic procedures.</w:t>
      </w:r>
    </w:p>
    <w:p>
      <w:pPr>
        <w:pStyle w:val="Heading1"/>
      </w:pPr>
      <w:r>
        <w:t>Avoid</w:t>
      </w:r>
    </w:p>
    <w:p>
      <w:pPr>
        <w:pStyle w:val="ListBullet"/>
      </w:pPr>
      <w:r>
        <w:t>Clinical decision support</w:t>
      </w:r>
    </w:p>
    <w:p>
      <w:pPr>
        <w:pStyle w:val="ListBullet"/>
      </w:pPr>
      <w:r>
        <w:t>Patient selection</w:t>
      </w:r>
    </w:p>
    <w:p>
      <w:pPr>
        <w:pStyle w:val="ListBullet"/>
      </w:pPr>
      <w:r>
        <w:t>Prediction of treatment response</w:t>
      </w:r>
    </w:p>
    <w:p>
      <w:pPr>
        <w:pStyle w:val="ListBullet"/>
      </w:pPr>
      <w:r>
        <w:t>Diagnostic sensitivity or specificity</w:t>
      </w:r>
    </w:p>
    <w:p>
      <w:pPr>
        <w:pStyle w:val="ListBullet"/>
      </w:pPr>
      <w:r>
        <w:t>Validated clinical cutoff</w:t>
      </w:r>
    </w:p>
    <w:p>
      <w:pPr>
        <w:pStyle w:val="ListBullet"/>
      </w:pPr>
      <w:r>
        <w:t>Clinical superiority</w:t>
      </w:r>
    </w:p>
    <w:p>
      <w:pPr>
        <w:pStyle w:val="Heading1"/>
      </w:pPr>
      <w:r>
        <w:t>Generally supportable with context</w:t>
      </w:r>
    </w:p>
    <w:p>
      <w:pPr>
        <w:pStyle w:val="ListBullet"/>
      </w:pPr>
      <w:r>
        <w:t>Technical reproducibility under the tested conditions</w:t>
      </w:r>
    </w:p>
    <w:p>
      <w:pPr>
        <w:pStyle w:val="ListBullet"/>
      </w:pPr>
      <w:r>
        <w:t>Panel composition</w:t>
      </w:r>
    </w:p>
    <w:p>
      <w:pPr>
        <w:pStyle w:val="ListBullet"/>
      </w:pPr>
      <w:r>
        <w:t>Sample and workflow description</w:t>
      </w:r>
    </w:p>
    <w:p>
      <w:pPr>
        <w:pStyle w:val="ListBullet"/>
      </w:pPr>
      <w:r>
        <w:t>Exploratory research associations with appropriate qualification</w:t>
      </w:r>
    </w:p>
    <w:p>
      <w:r>
        <w:t>Competitive statements need to be factual. We do not have head-to-head performance data against GeoMx, PhenoCycler/CODEX, multiplex IHC, or CRO-developed assays.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