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Prestacao de Servicos</w:t>
      </w:r>
    </w:p>
    <w:p>
      <w:pPr>
        <w:pStyle w:val="Heading2"/>
      </w:pPr>
      <w:r>
        <w:t>Clausulas Gerais</w:t>
      </w:r>
    </w:p>
    <w:p>
      <w:r>
        <w:t>A parte contratante devera observar os procedimentos descritos no anexo tecnico.</w:t>
      </w:r>
    </w:p>
    <w:p>
      <w:pPr>
        <w:pStyle w:val="Heading2"/>
      </w:pPr>
      <w:r>
        <w:t>Prazos e Taxas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Prazo</w:t>
            </w:r>
          </w:p>
        </w:tc>
        <w:tc>
          <w:tcPr>
            <w:tcW w:type="dxa" w:w="2880"/>
          </w:tcPr>
          <w:p>
            <w:r>
              <w:t>Taxa</w:t>
            </w:r>
          </w:p>
        </w:tc>
      </w:tr>
      <w:tr>
        <w:tc>
          <w:tcPr>
            <w:tcW w:type="dxa" w:w="2880"/>
          </w:tcPr>
          <w:p>
            <w:r>
              <w:t>Eletronicos</w:t>
            </w:r>
          </w:p>
        </w:tc>
        <w:tc>
          <w:tcPr>
            <w:tcW w:type="dxa" w:w="2880"/>
          </w:tcPr>
          <w:p>
            <w:r>
              <w:t>30 dias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Vestuario</w:t>
            </w:r>
          </w:p>
        </w:tc>
        <w:tc>
          <w:tcPr>
            <w:tcW w:type="dxa" w:w="2880"/>
          </w:tcPr>
          <w:p>
            <w:r>
              <w:t>15 dias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  <w:tr>
        <w:tc>
          <w:tcPr>
            <w:tcW w:type="dxa" w:w="2880"/>
          </w:tcPr>
          <w:p>
            <w:r>
              <w:t>Alimentos</w:t>
            </w:r>
          </w:p>
        </w:tc>
        <w:tc>
          <w:tcPr>
            <w:tcW w:type="dxa" w:w="2880"/>
          </w:tcPr>
          <w:p>
            <w:r>
              <w:t>nao aplicavel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Anexo</w:t>
      </w:r>
    </w:p>
    <w:p>
      <w:r>
        <w:t>Este anexo trata de assuntos distintos das clausulas gerais acima.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