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tl w:val="0"/>
        </w:rPr>
        <w:t xml:space="preserve">Proposal for Luxembourg Partnership – AI Safety Necklace for Children with Disabilities (UNCRC &amp; CRPD Aligned)</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rtl w:val="0"/>
        </w:rPr>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Subject: Proposal, AI for Child Safety in Luxembourg</w:t>
        <w:br w:type="textWrapping"/>
        <w:t xml:space="preserve"> Proposal for AI Safety Pilot in Luxembourg, Refugee Self-Reliance Model from Korea (Shared with selected international development partners)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Dear Luxembourg Ambassador to the Republic of Korea,</w:t>
        <w:br w:type="textWrapping"/>
        <w:t xml:space="preserve"> Your feedback or guidance on the matter would be deeply appreciated at your convenience.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 am pleased to share a 12-page concept note titled AI Necklace for Child Safety – Refugee Self-Reliance Model from Korea, enclosed for your kind review. This initiative is entirely non-commercial and developed solely in the public interest. As Project Coordinator and Founder, I confirm that it is firmly aligned with the UN Convention on the Rights of the Child (UNCRC) and the Convention on the Rights of Persons with Disabilities (CRPD), placing it among the highest priorities of the international human rights agenda.</w:t>
      </w:r>
    </w:p>
    <w:p w:rsidR="00000000" w:rsidDel="00000000" w:rsidP="00000000" w:rsidRDefault="00000000" w:rsidRPr="00000000" w14:paraId="00000007">
      <w:pPr>
        <w:spacing w:after="240" w:before="240" w:lineRule="auto"/>
        <w:rPr>
          <w:b w:val="1"/>
          <w:sz w:val="26"/>
          <w:szCs w:val="26"/>
        </w:rPr>
      </w:pPr>
      <w:r w:rsidDel="00000000" w:rsidR="00000000" w:rsidRPr="00000000">
        <w:rPr>
          <w:sz w:val="26"/>
          <w:szCs w:val="26"/>
          <w:rtl w:val="0"/>
        </w:rPr>
        <w:t xml:space="preserve">This project addresses an urgent humanitarian need: protecting children with developmental and physical disabilities, particularly in displacement-affected or resource-limited environments. Such children face heightened risks in emergencies yet often lack access to even the most basic safety mechanisms. </w:t>
      </w:r>
      <w:r w:rsidDel="00000000" w:rsidR="00000000" w:rsidRPr="00000000">
        <w:rPr>
          <w:b w:val="1"/>
          <w:sz w:val="26"/>
          <w:szCs w:val="26"/>
          <w:rtl w:val="0"/>
        </w:rPr>
        <w:t xml:space="preserve">In many low-resource or displacement-affected areas, children with developmental disabilities may wander into busy roads or unfamiliar environments without the ability to call for help. In emergencies, even a delay of a few minutes in locating them can be life-threatening. This device provides real-time audio cues and on-device alerts that can guide them back to safety—preventing traffic accidents and abductions that tragically occur in such contexts worldwide.</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The proposed pilot deployment requires a modest budget of approximately 1,000 USD, to be fully covered by the undersigned, with no financial commitment requested from your side at this stage. It can begin on a small scale, enabling immediate field learning without imposing any operational or budgetary burden on partner institutions. In other words, the barrier to entry is exceptionally low, while the potential humanitarian return is high.</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This is a non-profit humanitarian technology project featuring an offline, privacy-preserving AI-powered necklace designed to protect the safety and autonomy of children with developmental disabilities—entirely without internet connectivity or personal-data collection. No personally identifiable information (PII) is gathered; all inference and decision-making processes occur entirely on-device, ensuring full compliance with the EU General Data Protection Regulation (GDPR) and other relevant privacy frameworks. A preliminary Data Protection Impact Assessment (DPIA), child-safeguarding checklist, and risk-mitigation plan are available for review.</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Luxembourg’s global reputation for human rights diplomacy, combined with its active engagement in inclusive development and humanitarian aid, offers an exceptional foundation for collaboration. The country’s strategic role within the European Union and its commitment to refugee protection and digital inclusion align closely with the goals of this initiative. Luxembourg’s development agency, LuxDev, and organizations such as Fondation Caritas Luxembourg could serve as potential cooperation partners, offering expertise in program implementation, capacity building, and community outreach. Coordination with EU humanitarian structures and relevant multilateral platforms could further enhance the project’s reach and sustainability.</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By jointly pioneering a rights-based, low-cost model that integrates disability protection with refugee self-reliance, Luxembourg could reinforce its standing as a leader in shaping the next generation of ethical humanitarian innovation—setting a precedent likely to be cited in EU, UN, and other international development frameworks for years to come.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To support your review, I have enclosed a concise 12-page summary (AINecklace_Summary_Korea.pdf) containing no active content, embedded links, or commercial elements. A more detailed 260-page technical dossier is also available upon request in secure, non-editable PDF/A format. This dossier includes complete technical specifications, offline AI algorithm architecture, on-device inference workflows, and a field deployment simulation model—demonstrating feasibility without any data harvesting and ensuring compliance with European security and data-protection standards.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A copy of this proposal has also been shared with the relevant thematic unit within select international development cooperation networks, with the aim of exploring both regional and global coordination. In related contexts, the concept has been reviewed with counterparts in another European state, where it remains under consideration for future budget cycles, and is currently under active discussion with a second partner state.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May I kindly propose a brief 20-minute virtual meeting or an exchange of written feedback within the next two to three weeks, should it be convenient for your office? I would be glad to share a one-page executive brief in advance to facilitate the discussion.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I remain available at any time to provide additional documentation, address any questions, or adapt the proposal to align with your country’s specific humanitarian and innovation priorities.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Attachment</w:t>
        <w:br w:type="textWrapping"/>
        <w:t xml:space="preserve"> This document contains no active content, embedded links, or commercial elements. It presents an ethics-based AI technology designed to safeguard and save the lives of children with disabilities worldwide.</w:t>
      </w:r>
    </w:p>
    <w:p w:rsidR="00000000" w:rsidDel="00000000" w:rsidP="00000000" w:rsidRDefault="00000000" w:rsidRPr="00000000" w14:paraId="0000001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