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4"/>
          <w:szCs w:val="24"/>
        </w:rPr>
      </w:pPr>
      <w:r w:rsidDel="00000000" w:rsidR="00000000" w:rsidRPr="00000000">
        <w:rPr>
          <w:b w:val="1"/>
          <w:sz w:val="24"/>
          <w:szCs w:val="24"/>
          <w:rtl w:val="0"/>
        </w:rPr>
        <w:t xml:space="preserve">Proposal: AI Necklace for Child Safety – Public-Interest Submission (Form Error Korea)</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Due to repeated technical errors on the Netherlands Worldwide contact form (which appear to affect users in Korea), I was unfortunately unable to complete the online submission. I am therefore reaching out via this email to respectfully share the proposal.</w:t>
        <w:br w:type="textWrapping"/>
        <w:t xml:space="preserve"> As this proposal is of a public-interest and humanitarian nature, I would be sincerely grateful if this message could be forwarded to the appropriate officer or unit within the Embassy or Ministry responsible for innovation, development cooperation, or social impact initiatives.</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Dear Ambassador,</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This is a non-commercial, humanitarian pilot proposal that may align with the Netherlands’ development cooperation priorities in Germany—particularly your shared commitments to refugee inclusion, digital equity, and social innovation.</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My name is Jeon Gyu-min, and I serve as Project Coordinator of the AI Necklace for Child Safety Initiative, an independent, non-governmental effort based in the Republic of Korea. Rooted in a rights-based and ethics-driven approach to assistive technology, our initiative seeks to support the safety and daily autonomy of children with developmental and physical disabilities living in refugee settlements or under-resourced communities.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Germany plays a central role in European refugee reception, digital development, and regional humanitarian policy. The Netherlands, in turn, maintains a close working relationship with Germany through bilateral and multilateral programs in the areas of human rights, inclusive technology, and development cooperation. Recent collaborations through the EU Pact on Migration and Asylum, support for Ukraine’s displaced populations, and participation in the Digital for Development (D4D) Hub underscore this alignment.</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Despite strong policy frameworks, many refugee and migrant children with disabilities in Germany remain underserved due to persistent infrastructural gaps, limited assistive resources, and social stigma. In response, our initiative proposes the pilot deployment of the AI Necklace for Child Safety: a low-cost, fully offline wearable device designed to support vulnerable children’s safety, communication, and daily functioning without requiring internet access.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 device provides real-time verbal prompts to assist with daily routines and alerts caregivers through a paired offline mobile interface in cases of distress or behavioral anomalies. It does not collect personal data and adheres fully to GDPR, COPPA, and other relevant data protection frameworks, making it highly suitable for sensitive environments. A working prototype can be assembled and field-tested for approximately 1,000 USD, and I am fully prepared to personally cover this cost for the Germany pilot.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 initiative is designed to be locally adaptable. Its modular design allows decentralized assembly and maintenance by refugee technicians, caregivers, and underemployed youth—thus contributing not only to child protection but also to local livelihoods and integration. The project is aligned with the EU Disability Strategy, the UN SDGs (3, 9, 10), and the Netherlands’ development values in ethical innovation and inclusive society-building.</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For local collaboration in Germany, the following partners have been identified as suitable entry points:</w:t>
      </w:r>
    </w:p>
    <w:p w:rsidR="00000000" w:rsidDel="00000000" w:rsidP="00000000" w:rsidRDefault="00000000" w:rsidRPr="00000000" w14:paraId="0000000B">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Berliner Behindertenverband (BBV)</w:t>
      </w:r>
      <w:r w:rsidDel="00000000" w:rsidR="00000000" w:rsidRPr="00000000">
        <w:rPr>
          <w:sz w:val="24"/>
          <w:szCs w:val="24"/>
          <w:rtl w:val="0"/>
        </w:rPr>
        <w:t xml:space="preserve"> – an advocacy and support organization representing people with disabilities in Berlin, active in both policy and community-level service.</w:t>
        <w:br w:type="textWrapping"/>
      </w:r>
    </w:p>
    <w:p w:rsidR="00000000" w:rsidDel="00000000" w:rsidP="00000000" w:rsidRDefault="00000000" w:rsidRPr="00000000" w14:paraId="0000000C">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Flüchtlingsrat Berlin</w:t>
      </w:r>
      <w:r w:rsidDel="00000000" w:rsidR="00000000" w:rsidRPr="00000000">
        <w:rPr>
          <w:sz w:val="24"/>
          <w:szCs w:val="24"/>
          <w:rtl w:val="0"/>
        </w:rPr>
        <w:t xml:space="preserve"> – a respected refugee rights NGO working across Berlin's shelters and integration networks, with programs focused on disability and child welfare.</w:t>
        <w:br w:type="textWrapping"/>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Both organizations operate with a rights-based, community-centered ethos that mirrors the values of the Netherlands and this initiative.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This is a self-funded, non-commercial, humanitarian effort developed entirely outside government and submitted for public interest. I serve as both founder and lead developer. For your convenience, I have prepared a 260-page technical dossier as well as a 2-page summary. I would be pleased to share the summary first and can provide the full dossier in secure, non-editable PDF/A format upon request.</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If the Embassy sees relevance or interest, I would welcome the opportunity to provide further details, respond to inquiries, or participate in a virtual discussion. We believe this initiative represents a low-risk, high-impact opportunity for the Netherlands to contribute meaningfully to ethical, inclusive innovation—while supporting children with disabilities in Germany and throughout Europe.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Thank you very much for your time and consideration.</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Warm regards,</w:t>
        <w:br w:type="textWrapping"/>
        <w:t xml:space="preserve"> Jeon Gyu-min</w:t>
        <w:br w:type="textWrapping"/>
        <w:t xml:space="preserve"> Project Coordinator and Founder</w:t>
        <w:br w:type="textWrapping"/>
        <w:t xml:space="preserve"> AI Necklace for Child Safety Initiative</w:t>
        <w:br w:type="textWrapping"/>
        <w:t xml:space="preserve"> Hanbat National University</w:t>
        <w:br w:type="textWrapping"/>
        <w:t xml:space="preserve"> Daejeon, Republic of Korea</w:t>
        <w:br w:type="textWrapping"/>
        <w:t xml:space="preserve"> Email: gyumin.jeon.childsafe@gmail.com</w:t>
        <w:br w:type="textWrapping"/>
        <w:t xml:space="preserve"> Backup: jekymin2@naver.com</w:t>
      </w:r>
    </w:p>
    <w:p w:rsidR="00000000" w:rsidDel="00000000" w:rsidP="00000000" w:rsidRDefault="00000000" w:rsidRPr="00000000" w14:paraId="00000012">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