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Request for Consideration – Ethical Referral for MVP Testing (AI Safety Necklace)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Dear Respected German Diplomat,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 hope this message finds you well.</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 would like to express my sincere gratitude for your time and attention thus far.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While I fully respect your institutional priorities, I write with heartfelt hope that the AI Safety Necklace for children with disabilities may find a path—however modest—toward MVP-level testing.</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This initiative was developed not for commercial or personal gain, but out of a deep concern for the most vulnerable among us: children with developmental and physical disabilities.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As you know, these children are uniquely protected under both the UN Convention on the Rights of the Child (UNCRC) and the Convention on the Rights of Persons with Disabilities (CRPD), placing them at the intersection of two of the most important human rights frameworks of our time.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I also recognize that a few weeks ago, I shared multiple materials related to this initiative. Please know that this was not intended to create any pressure or overexposure, but rather to reflect the depth of my commitment and my sincere desire to communicate the project’s ethical and humanitarian significance with clarity and responsibility.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Even if this initiative is not currently aligned with your institutional priorities, I would be deeply grateful if it could be referred to a relevant NGO or partner organization within the German development cooperation ecosystem.</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Out of respect for your potential consideration, I have deliberately refrained from submitting this proposal to other embassies during the past two weeks, in the hope that the project might find a meaningful foothold through your office.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Once again, I thank you for your time, and I remain fully responsible for all aspects of this initiative.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With highest respect,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Gyu Min Jeon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