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sz w:val="26"/>
          <w:szCs w:val="26"/>
          <w:rtl w:val="0"/>
        </w:rPr>
        <w:t xml:space="preserve">Subject: Proposal for Consideration: 54 KB Offline AI for Disability-Inclusive Child Protection</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Executive Summary:</w:t>
        <w:br w:type="textWrapping"/>
        <w:t xml:space="preserve"> This initiative introduces a 54 KB offline, rights-based artificial intelligence designed to protect children with disabilities in connectivity-constrained settings. Running fully on-device with no data transmission, it has been validated on low-power smartphones with minimal resource use. The approach aligns with Norway’s leadership in humanitarian protection, disability inclusion, and digital public goods, while placing no financial or operational obligations on the Embassy. Further details and supporting materials are available at the M-Corp AI introductory page (</w:t>
      </w:r>
      <w:hyperlink r:id="rId6">
        <w:r w:rsidDel="00000000" w:rsidR="00000000" w:rsidRPr="00000000">
          <w:rPr>
            <w:color w:val="1155cc"/>
            <w:sz w:val="26"/>
            <w:szCs w:val="26"/>
            <w:u w:val="single"/>
            <w:rtl w:val="0"/>
          </w:rPr>
          <w:t xml:space="preserve">mcorpai.org</w:t>
        </w:r>
      </w:hyperlink>
      <w:r w:rsidDel="00000000" w:rsidR="00000000" w:rsidRPr="00000000">
        <w:rPr>
          <w:sz w:val="26"/>
          <w:szCs w:val="26"/>
          <w:rtl w:val="0"/>
        </w:rPr>
        <w:t xml:space="preserve">).</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It is the only AI that can protect children even when the internet and electricity are cut off. With just a single 54KB file, it can operate instantly in refugee camps and disaster zones. It collects no personal data and fully complies with GDPR, UNCRC, and CRPD standards</w:t>
      </w:r>
    </w:p>
    <w:p w:rsidR="00000000" w:rsidDel="00000000" w:rsidP="00000000" w:rsidRDefault="00000000" w:rsidRPr="00000000" w14:paraId="00000004">
      <w:pPr>
        <w:spacing w:after="240" w:before="240" w:lineRule="auto"/>
        <w:rPr>
          <w:sz w:val="26"/>
          <w:szCs w:val="26"/>
        </w:rPr>
      </w:pPr>
      <w:r w:rsidDel="00000000" w:rsidR="00000000" w:rsidRPr="00000000">
        <w:rPr>
          <w:rtl w:val="0"/>
        </w:rPr>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Your Excellency,</w:t>
        <w:br w:type="textWrapping"/>
        <w:t xml:space="preserve"> Royal Norwegian Embassy,</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With the highest respect, I wish to share a non-commercial, rights-based initiative aligned with Norway’s leadership in humanitarian protection, disability inclusion, and responsible digital cooperation. Our team has developed an ultra-lightweight artificial intelligence packaged in a single 54 KB HTML file, designed to operate entirely offline and sustain functionality during planned or unplanned disruptions. To lower barriers, repurposed low-power smartphones with small solar chargers can host the tool and be maintained directly by local actors.</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Unlike server-dependent AI models, this tool performs all inference locally in the browser. By remaining offline and avoiding network calls, it ensures service continuity, preserves privacy, and reduces cost and operational risk in connectivity-constrained contexts.</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The model combines technical minimalism with robust safeguards. It collects no personal data and is accompanied by governance guidance, training outlines, and a template Data Protection Impact Assessment to support adoption by disability organizations, Red Cross and Red Crescent National Societies, and education partners. The principle is clear: effective protection without surveillance.</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From inception, the build has adhered to GDPR privacy-by-design and the principles of the UN Convention on the Rights of the Child (UNCRC) and the Convention on the Rights of Persons with Disabilities (CRPD). It aligns with Norway’s advocacy for digital public goods, including its co-founding of the Digital Public Goods Alliance, and with commitments to disability-inclusive development under the Equality for All strategy. It also resonates with Norway’s leadership in the Safe Schools Declaration, underscoring the protection of learning environments in crises. This initiative demonstrates that AI can be inclusive, protective, and rights-based without costly infrastructure.</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A functioning version has been tested on repurposed smartphones under minimal-power conditions, with indicative internal benchmarks showing median on-device inference latency below 100 ms for typical queries on entry-level Android devices (for example, Android 8.1 with 1 GB RAM), and approximately one to two percent battery consumption per hour during continuous use. The single-document architecture, with maintained version history, enables transparency, monitoring, and independent review by academic, humanitarian, and regulatory actors. This is an operational model ready for immediate application.</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We respectfully propose a modest pilot to demonstrate feasibility and generate field learning, without any financial or operational obligations for the Embassy. If helpful, such a pilot could be conducted with the Norwegian Red Cross or an education partner designated by the Embassy.</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If agreeable, I would be grateful for a short virtual demonstration of no more than 15 minutes at a time convenient for the Embassy. I would be happy to adjust to your preferred schedule. Alternatively, a written exchange with a designated focal point is most welcome. Supporting documents — including a one-page overview, a 12-page summary, and a 260-page technical dossier — are available upon request.</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Please accept, Your Excellency, the assurances of my highest consideration.</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Sincerely,</w:t>
        <w:br w:type="textWrapping"/>
        <w:t xml:space="preserve"> Morgan J.</w:t>
        <w:br w:type="textWrapping"/>
        <w:t xml:space="preserve"> Project Director, AI Necklace for Child Safety Initiative</w:t>
        <w:br w:type="textWrapping"/>
        <w:t xml:space="preserve"> Email: contact@mcorpai.org</w:t>
        <w:br w:type="textWrapping"/>
        <w:t xml:space="preserve"> Website: mcorpai.org</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corp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