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6FEB"/>
          <w:sz w:val="84"/>
          <w:szCs w:val="84"/>
        </w:rPr>
        <w:t xml:space="preserve">NEXIS</w:t>
      </w:r>
    </w:p>
    <w:p>
      <w:pPr>
        <w:spacing w:before="120"/>
        <w:jc w:val="center"/>
      </w:pPr>
      <w:r>
        <w:rPr>
          <w:color w:val="0F172A"/>
          <w:sz w:val="32"/>
          <w:szCs w:val="32"/>
        </w:rPr>
        <w:t xml:space="preserve">HR &amp; Payroll SaaS for Indonesia</w:t>
      </w:r>
    </w:p>
    <w:p>
      <w:pPr>
        <w:spacing w:before="80"/>
        <w:jc w:val="center"/>
      </w:pPr>
      <w:r>
        <w:rPr>
          <w:color w:val="64748B"/>
          <w:sz w:val="26"/>
          <w:szCs w:val="26"/>
        </w:rPr>
        <w:t xml:space="preserve">Technical Blueprint &amp; Build Plan</w:t>
      </w:r>
    </w:p>
    <w:p>
      <w:pPr>
        <w:spacing w:before="600"/>
        <w:jc w:val="center"/>
      </w:pPr>
      <w:r>
        <w:rPr>
          <w:i/>
          <w:iCs/>
          <w:color w:val="64748B"/>
          <w:sz w:val="20"/>
          <w:szCs w:val="20"/>
        </w:rPr>
        <w:t xml:space="preserve">Multi-company · Supabase · Google Cloud · Next.js + React Native</w:t>
      </w:r>
    </w:p>
    <w:p>
      <w:pPr>
        <w:spacing w:before="1800"/>
        <w:jc w:val="center"/>
      </w:pPr>
      <w:r>
        <w:rPr>
          <w:color w:val="64748B"/>
          <w:sz w:val="18"/>
          <w:szCs w:val="18"/>
        </w:rPr>
        <w:t xml:space="preserve">Stakeholder master document · v1.0 · June 2026</w:t>
      </w:r>
    </w:p>
    <w:p>
      <w:pPr>
        <w:jc w:val="center"/>
      </w:pPr>
      <w:r>
        <w:rPr>
          <w:color w:val="64748B"/>
          <w:sz w:val="18"/>
          <w:szCs w:val="18"/>
        </w:rPr>
        <w:t xml:space="preserve">Companion to the /docs agent specification set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Nexis is a multi-company HR &amp; Payroll platform for the Indonesian market, positioned alongside GreatDay HR, Gadjian (Gajian), Talenta, and Dayforce. Its defining capability is that </w:t>
      </w:r>
      <w:r>
        <w:rPr>
          <w:b/>
          <w:bCs/>
        </w:rPr>
        <w:t xml:space="preserve">one user account can manage several companies from a single login, each with its own employees, payroll, and a distinct role per company</w:t>
      </w:r>
      <w:r>
        <w:t xml:space="preserve">. Payroll is fully localized to Indonesian regulation — PPh 21 (TER method), BPJS Kesehatan and Ketenagakerjaan, THR, and statutory overtime.</w:t>
      </w:r>
    </w:p>
    <w:p>
      <w:pPr>
        <w:spacing w:after="120"/>
      </w:pPr>
      <w:r>
        <w:t xml:space="preserve">New companies start free: </w:t>
      </w:r>
      <w:r>
        <w:rPr>
          <w:b/>
          <w:bCs/>
        </w:rPr>
        <w:t xml:space="preserve">the first 5 employees per company are free</w:t>
      </w:r>
      <w:r>
        <w:t xml:space="preserve">, and the free onboarding deliberately collects no company NPWP or other non-essential legal/tax data — that information is only requested when a company upgrades or runs tax-affecting payroll. This removes signup friction for the smallest businesses while keeping a clear path to monetization.</w:t>
      </w:r>
    </w:p>
    <w:p>
      <w:pPr>
        <w:spacing w:after="120"/>
      </w:pPr>
      <w:r>
        <w:t xml:space="preserve">This document is the stakeholder-facing companion to a structured specification set written for AI coding agents (built and tested for Google Antigravity; also compatible with Cursor, Windsurf, and Claude Code). The agent reads an AGENTS.md rules file and a /docs folder, then builds the product stage by stage.</w:t>
      </w:r>
    </w:p>
    <w:p>
      <w:pPr>
        <w:pStyle w:val="Heading1"/>
      </w:pPr>
      <w:r>
        <w:t xml:space="preserve">2. Key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rPr>
              <w:t xml:space="preserve">Area</w:t>
            </w:r>
          </w:p>
        </w:tc>
        <w:tc>
          <w:tcPr>
            <w:tcW w:type="dxa" w:w="67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rPr>
              <w:t xml:space="preserve">Decision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 / DB / 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Supabase — Postgres + Auth + Storage + Realtime + Edge Functions</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Cloud / heavy jobs</w:t>
            </w:r>
          </w:p>
        </w:tc>
        <w:tc>
          <w:tcPr>
            <w:tcW w:type="dxa" w:w="6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Google Cloud — Cloud Run, Cloud Tasks, Cloud Scheduler, Cloud Storage, Secret Manager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web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Next.js (App Router, TypeScript) + Tailwind + shadcn/ui</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Employee mobile</w:t>
            </w:r>
          </w:p>
        </w:tc>
        <w:tc>
          <w:tcPr>
            <w:tcW w:type="dxa" w:w="6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React Native (Expo, TypeScript)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Tenancy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Shared-schema multi-tenancy; isolation enforced by Postgres Row Level Security (RLS)</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Multi-company</w:t>
            </w:r>
          </w:p>
        </w:tc>
        <w:tc>
          <w:tcPr>
            <w:tcW w:type="dxa" w:w="6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One user → many companies; role per company (owner/admin/manager/employee)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 tier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First 5 employees free per company; no company NPWP required while free</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Money</w:t>
            </w:r>
          </w:p>
        </w:tc>
        <w:tc>
          <w:tcPr>
            <w:tcW w:type="dxa" w:w="6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Integer rupiah (bigint) end-to-end — never floating 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Compliance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Tax/BPJS rates stored as versioned reference data, not hardcoded</w:t>
            </w:r>
          </w:p>
        </w:tc>
      </w:tr>
    </w:tbl>
    <w:p>
      <w:pPr>
        <w:pStyle w:val="Heading1"/>
      </w:pPr>
      <w:r>
        <w:t xml:space="preserve">3. Product Vision</w:t>
      </w:r>
    </w:p>
    <w:p>
      <w:pPr>
        <w:pStyle w:val="Heading2"/>
      </w:pPr>
      <w:r>
        <w:t xml:space="preserve">Who it is for</w:t>
      </w:r>
    </w:p>
    <w:p>
      <w:pPr>
        <w:pStyle w:val="ListParagraph"/>
        <w:numPr>
          <w:ilvl w:val="0"/>
          <w:numId w:val="2"/>
        </w:numPr>
      </w:pPr>
      <w:r>
        <w:rPr>
          <w:b/>
          <w:bCs/>
        </w:rPr>
        <w:t xml:space="preserve">Owner / founder</w:t>
      </w:r>
      <w:r>
        <w:t xml:space="preserve"> of a small business (1–20 staff) who wants correct payroll without a specialist — enters via the free tier.</w:t>
      </w:r>
    </w:p>
    <w:p>
      <w:pPr>
        <w:pStyle w:val="ListParagraph"/>
        <w:numPr>
          <w:ilvl w:val="0"/>
          <w:numId w:val="2"/>
        </w:numPr>
      </w:pPr>
      <w:r>
        <w:rPr>
          <w:b/>
          <w:bCs/>
        </w:rPr>
        <w:t xml:space="preserve">HR / Finance admin</w:t>
      </w:r>
      <w:r>
        <w:t xml:space="preserve"> running day-to-day operations: employees, attendance, payroll, payslips, reports.</w:t>
      </w:r>
    </w:p>
    <w:p>
      <w:pPr>
        <w:pStyle w:val="ListParagraph"/>
        <w:numPr>
          <w:ilvl w:val="0"/>
          <w:numId w:val="2"/>
        </w:numPr>
      </w:pPr>
      <w:r>
        <w:rPr>
          <w:b/>
          <w:bCs/>
        </w:rPr>
        <w:t xml:space="preserve">Accountant / payroll consultant</w:t>
      </w:r>
      <w:r>
        <w:t xml:space="preserve"> managing several client companies — the core reason for true multi-company support.</w:t>
      </w:r>
    </w:p>
    <w:p>
      <w:pPr>
        <w:pStyle w:val="ListParagraph"/>
        <w:numPr>
          <w:ilvl w:val="0"/>
          <w:numId w:val="2"/>
        </w:numPr>
      </w:pPr>
      <w:r>
        <w:rPr>
          <w:b/>
          <w:bCs/>
        </w:rPr>
        <w:t xml:space="preserve">Employee</w:t>
      </w:r>
      <w:r>
        <w:t xml:space="preserve"> using a mobile app for clock-in (GPS + selfie), payslips, leave, and reimbursement claims.</w:t>
      </w:r>
    </w:p>
    <w:p>
      <w:pPr>
        <w:pStyle w:val="Heading2"/>
      </w:pPr>
      <w:r>
        <w:t xml:space="preserve">Differentiators</w:t>
      </w:r>
    </w:p>
    <w:p>
      <w:pPr>
        <w:pStyle w:val="ListParagraph"/>
        <w:numPr>
          <w:ilvl w:val="0"/>
          <w:numId w:val="2"/>
        </w:numPr>
      </w:pPr>
      <w:r>
        <w:t xml:space="preserve">True per-user multi-tenancy with a company switcher and complete, database-enforced data isolation.</w:t>
      </w:r>
    </w:p>
    <w:p>
      <w:pPr>
        <w:pStyle w:val="ListParagraph"/>
        <w:numPr>
          <w:ilvl w:val="0"/>
          <w:numId w:val="2"/>
        </w:numPr>
      </w:pPr>
      <w:r>
        <w:t xml:space="preserve">Frictionless free start — five free employees, minimal onboarding fields.</w:t>
      </w:r>
    </w:p>
    <w:p>
      <w:pPr>
        <w:pStyle w:val="ListParagraph"/>
        <w:numPr>
          <w:ilvl w:val="0"/>
          <w:numId w:val="2"/>
        </w:numPr>
      </w:pPr>
      <w:r>
        <w:t xml:space="preserve">Compliance as data — yearly regulation changes are a data update, not a code release.</w:t>
      </w:r>
    </w:p>
    <w:p>
      <w:pPr>
        <w:pStyle w:val="ListParagraph"/>
        <w:numPr>
          <w:ilvl w:val="0"/>
          <w:numId w:val="2"/>
        </w:numPr>
      </w:pPr>
      <w:r>
        <w:t xml:space="preserve">Mobile-first employee experience, web-first admin experience.</w:t>
      </w:r>
    </w:p>
    <w:p>
      <w:pPr>
        <w:pStyle w:val="Heading1"/>
      </w:pPr>
      <w:r>
        <w:t xml:space="preserve">4. System Architecture</w:t>
      </w:r>
    </w:p>
    <w:p>
      <w:pPr>
        <w:spacing w:after="120"/>
      </w:pPr>
      <w:r>
        <w:t xml:space="preserve">Most of the application runs directly against Supabase: clients talk to Postgres through the Supabase SDK, authorized by RLS using the user's JWT. Short, event-driven logic (signup hooks, invitations, signed URLs) runs in Supabase Edge Functions.</w:t>
      </w:r>
    </w:p>
    <w:p>
      <w:pPr>
        <w:spacing w:after="120"/>
      </w:pPr>
      <w:r>
        <w:t xml:space="preserve">Google Cloud handles anything long-running, CPU-heavy, scheduled, or needing durable queues — chiefly the </w:t>
      </w:r>
      <w:r>
        <w:rPr>
          <w:b/>
          <w:bCs/>
        </w:rPr>
        <w:t xml:space="preserve">payroll engine</w:t>
      </w:r>
      <w:r>
        <w:t xml:space="preserve"> and </w:t>
      </w:r>
      <w:r>
        <w:rPr>
          <w:b/>
          <w:bCs/>
        </w:rPr>
        <w:t xml:space="preserve">PDF payslip generation</w:t>
      </w:r>
      <w:r>
        <w:t xml:space="preserve">, which must not run inside a web request. A payroll run is enqueued to Cloud Tasks, executed by a Cloud Run worker that computes PPh 21, BPJS, overtime and net pay deterministically, writes results, renders payslip PDFs to Cloud Storage, and streams status back to the admin via Realtime.</w:t>
      </w:r>
    </w:p>
    <w:p>
      <w:pPr>
        <w:spacing w:after="120"/>
      </w:pPr>
      <w:r>
        <w:t xml:space="preserve">Why this split: Supabase covers roughly 80% of the app with minimal operations, while Google Cloud provides the durable, scalable compute for regulated batch work and scheduled jobs (monthly payroll preparation, THR and BPJS reminders).</w:t>
      </w:r>
    </w:p>
    <w:p>
      <w:pPr>
        <w:pStyle w:val="Heading1"/>
      </w:pPr>
      <w:r>
        <w:t xml:space="preserve">5. Multi-Company Model (the core requirement)</w:t>
      </w:r>
    </w:p>
    <w:p>
      <w:pPr>
        <w:spacing w:after="120"/>
      </w:pPr>
      <w:r>
        <w:t xml:space="preserve">A join table maps every (user, company) pair to a role. A single person can therefore be the </w:t>
      </w:r>
      <w:r>
        <w:rPr>
          <w:b/>
          <w:bCs/>
        </w:rPr>
        <w:t xml:space="preserve">owner</w:t>
      </w:r>
      <w:r>
        <w:t xml:space="preserve"> of one company and merely an </w:t>
      </w:r>
      <w:r>
        <w:rPr>
          <w:b/>
          <w:bCs/>
        </w:rPr>
        <w:t xml:space="preserve">employee</w:t>
      </w:r>
      <w:r>
        <w:t xml:space="preserve"> of another at the same time. Every tenant-scoped table carries a company_id, and RLS policies call small security-definer helper functions to verify membership and role on each read and write — so no user can ever reach another company's data, even if application code has a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rPr>
              <w:t xml:space="preserve">Role</w:t>
            </w:r>
          </w:p>
        </w:tc>
        <w:tc>
          <w:tcPr>
            <w:tcW w:type="dxa" w:w="71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rPr>
              <w:t xml:space="preserve">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control including billing, deleting the company, and managing members</w:t>
            </w:r>
          </w:p>
        </w:tc>
      </w:tr>
      <w:tr>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admin</w:t>
            </w:r>
          </w:p>
        </w:tc>
        <w:tc>
          <w:tcPr>
            <w:tcW w:type="dxa" w:w="7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Manage employees, attendance, run payroll, view reports (no billing/delete)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Approve leave and claims, view team attendance, limited payroll visibility</w:t>
            </w:r>
          </w:p>
        </w:tc>
      </w:tr>
      <w:tr>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employee</w:t>
            </w:r>
          </w:p>
        </w:tc>
        <w:tc>
          <w:tcPr>
            <w:tcW w:type="dxa" w:w="7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Self-service: own profile, attendance, payslips, leave and claim requests</w:t>
            </w:r>
          </w:p>
        </w:tc>
      </w:tr>
    </w:tbl>
    <w:p>
      <w:pPr>
        <w:spacing w:after="120"/>
      </w:pPr>
      <w:r>
        <w:t xml:space="preserve">Free-tier limits and all sensitive operations are enforced at the database (triggers and security-definer functions), not just in the UI, so they cannot be bypassed by any client.</w:t>
      </w:r>
    </w:p>
    <w:p>
      <w:pPr>
        <w:pStyle w:val="Heading1"/>
      </w:pPr>
      <w:r>
        <w:t xml:space="preserve">6. Indonesian Compliance Coverage</w:t>
      </w:r>
    </w:p>
    <w:p>
      <w:pPr>
        <w:pStyle w:val="ListParagraph"/>
        <w:numPr>
          <w:ilvl w:val="0"/>
          <w:numId w:val="2"/>
        </w:numPr>
      </w:pPr>
      <w:r>
        <w:rPr>
          <w:b/>
          <w:bCs/>
        </w:rPr>
        <w:t xml:space="preserve">PPh 21</w:t>
      </w:r>
      <w:r>
        <w:t xml:space="preserve"> income tax via the TER (average effective rate) method introduced under PMK 168/2023, with December progressive-bracket reconciliation and a +20% surcharge for employees without an NPWP.</w:t>
      </w:r>
    </w:p>
    <w:p>
      <w:pPr>
        <w:pStyle w:val="ListParagraph"/>
        <w:numPr>
          <w:ilvl w:val="0"/>
          <w:numId w:val="2"/>
        </w:numPr>
      </w:pPr>
      <w:r>
        <w:rPr>
          <w:b/>
          <w:bCs/>
        </w:rPr>
        <w:t xml:space="preserve">BPJS Kesehatan</w:t>
      </w:r>
      <w:r>
        <w:t xml:space="preserve"> — 5% of wage (employer 4% / employee 1%), subject to the wage ceiling.</w:t>
      </w:r>
    </w:p>
    <w:p>
      <w:pPr>
        <w:pStyle w:val="ListParagraph"/>
        <w:numPr>
          <w:ilvl w:val="0"/>
          <w:numId w:val="2"/>
        </w:numPr>
      </w:pPr>
      <w:r>
        <w:rPr>
          <w:b/>
          <w:bCs/>
        </w:rPr>
        <w:t xml:space="preserve">BPJS Ketenagakerjaan</w:t>
      </w:r>
      <w:r>
        <w:t xml:space="preserve"> — JHT, JP (capped), JKK by industry risk class, and JKM, split across employer and employee per regulation.</w:t>
      </w:r>
    </w:p>
    <w:p>
      <w:pPr>
        <w:pStyle w:val="ListParagraph"/>
        <w:numPr>
          <w:ilvl w:val="0"/>
          <w:numId w:val="2"/>
        </w:numPr>
      </w:pPr>
      <w:r>
        <w:rPr>
          <w:b/>
          <w:bCs/>
        </w:rPr>
        <w:t xml:space="preserve">Overtime</w:t>
      </w:r>
      <w:r>
        <w:t xml:space="preserve"> at the statutory 1/173 hourly base with weekday and rest-day/holiday multipliers.</w:t>
      </w:r>
    </w:p>
    <w:p>
      <w:pPr>
        <w:pStyle w:val="ListParagraph"/>
        <w:numPr>
          <w:ilvl w:val="0"/>
          <w:numId w:val="2"/>
        </w:numPr>
      </w:pPr>
      <w:r>
        <w:rPr>
          <w:b/>
          <w:bCs/>
        </w:rPr>
        <w:t xml:space="preserve">THR</w:t>
      </w:r>
      <w:r>
        <w:t xml:space="preserve"> religious-holiday bonus — one month's salary, prorated under 12 months of service.</w:t>
      </w:r>
    </w:p>
    <w:p>
      <w:pPr>
        <w:spacing w:after="120"/>
      </w:pPr>
      <w:r>
        <w:t xml:space="preserve">All rates live in versioned reference tables and are snapshotted onto each payroll run, so historical runs remain reproducible after the law changes. Figures must be re-verified against the latest DJP, BPJS, and Kemnaker rules before each tax year.</w:t>
      </w:r>
    </w:p>
    <w:p>
      <w:pPr>
        <w:pStyle w:val="Heading1"/>
      </w:pPr>
      <w:r>
        <w:t xml:space="preserve">7.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rPr>
              <w:t xml:space="preserve">Stage</w:t>
            </w:r>
          </w:p>
        </w:tc>
        <w:tc>
          <w:tcPr>
            <w:tcW w:type="dxa" w:w="3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rPr>
              <w:t xml:space="preserve">Focus</w:t>
            </w:r>
          </w:p>
        </w:tc>
        <w:tc>
          <w:tcPr>
            <w:tcW w:type="dxa" w:w="54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rPr>
              <w:t xml:space="preserve">Key acceptance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Monorepo scaffold + services wired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 runs web + mobile on local Supabase; CI green</w:t>
            </w:r>
          </w:p>
        </w:tc>
      </w:tr>
      <w:tr>
        <w:tc>
          <w:tcPr>
            <w:tcW w:type="dxa" w:w="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1</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Auth &amp; onboarding (sign up/in, forgot password, free company)</w:t>
            </w:r>
          </w:p>
        </w:tc>
        <w:tc>
          <w:tcPr>
            <w:tcW w:type="dxa" w:w="54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Verified signup → create company as owner; reset works; RLS isolation tests pass; no NPWP on free path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Companies, members, employees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Invites with per-company roles; 6th employee blocked on free; employee sees only own data</w:t>
            </w:r>
          </w:p>
        </w:tc>
      </w:tr>
      <w:tr>
        <w:tc>
          <w:tcPr>
            <w:tcW w:type="dxa" w:w="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3</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Attendance &amp; scheduling</w:t>
            </w:r>
          </w:p>
        </w:tc>
        <w:tc>
          <w:tcPr>
            <w:tcW w:type="dxa" w:w="54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Mobile GPS + selfie clock-in; live web dashboard; overtime feeds payroll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Payroll engine (compliance-critical)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Engine matches fixtures to the rupiah; async Cloud Run run; payslip PDFs; reproducible</w:t>
            </w:r>
          </w:p>
        </w:tc>
      </w:tr>
      <w:tr>
        <w:tc>
          <w:tcPr>
            <w:tcW w:type="dxa" w:w="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5</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Leave &amp; reimbursement claims</w:t>
            </w:r>
          </w:p>
        </w:tc>
        <w:tc>
          <w:tcPr>
            <w:tcW w:type="dxa" w:w="54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Request → approval → balance/payroll integration; role-gated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Reporting, exports &amp; billing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Tax/BPJS exports; upgrade past 5 seats collects NPWP; seat metering</w:t>
            </w:r>
          </w:p>
        </w:tc>
      </w:tr>
      <w:tr>
        <w:tc>
          <w:tcPr>
            <w:tcW w:type="dxa" w:w="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7</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Advanced / scale</w:t>
            </w:r>
          </w:p>
        </w:tc>
        <w:tc>
          <w:tcPr>
            <w:tcW w:type="dxa" w:w="54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t xml:space="preserve">API, performance, analytics, SSO — prioritized by demand</w:t>
            </w:r>
          </w:p>
        </w:tc>
      </w:tr>
    </w:tbl>
    <w:p>
      <w:pPr>
        <w:spacing w:after="120"/>
      </w:pPr>
      <w:r>
        <w:t xml:space="preserve">Stages are built strictly in order; each has explicit acceptance criteria treated as its definition of done. Stage 1 (authentication) is fully specified down to screens, flows, validation, and tests.</w:t>
      </w:r>
    </w:p>
    <w:p>
      <w:pPr>
        <w:pStyle w:val="Heading1"/>
      </w:pPr>
      <w:r>
        <w:t xml:space="preserve">8. How the AI Agent Consumes This</w:t>
      </w:r>
    </w:p>
    <w:p>
      <w:pPr>
        <w:spacing w:after="120"/>
      </w:pPr>
      <w:r>
        <w:t xml:space="preserve">The repository root holds an </w:t>
      </w:r>
      <w:r>
        <w:rPr>
          <w:b/>
          <w:bCs/>
        </w:rPr>
        <w:t xml:space="preserve">AGENTS.md</w:t>
      </w:r>
      <w:r>
        <w:t xml:space="preserve"> rules file (read first by Antigravity) that fixes the stack, the non-negotiable rules, and a map to the detailed /docs. The agent scaffolds the monorepo, then implements stage by stage, generating Supabase SQL migrations and regenerating shared TypeScript types after each schema change. Antigravity's Agent Manager can run several agents in parallel; Stage 1 includes a suggested five-agent task split (database, web auth, web onboarding, mobile, design/i18n).</w:t>
      </w:r>
    </w:p>
    <w:p>
      <w:pPr>
        <w:pStyle w:val="Heading2"/>
      </w:pPr>
      <w:r>
        <w:t xml:space="preserve">Recommended Cowork support</w:t>
      </w:r>
    </w:p>
    <w:p>
      <w:pPr>
        <w:pStyle w:val="ListParagraph"/>
        <w:numPr>
          <w:ilvl w:val="0"/>
          <w:numId w:val="2"/>
        </w:numPr>
      </w:pPr>
      <w:r>
        <w:rPr>
          <w:b/>
          <w:bCs/>
        </w:rPr>
        <w:t xml:space="preserve">skill-creator</w:t>
      </w:r>
      <w:r>
        <w:t xml:space="preserve"> — package the payroll rules into a reusable "nexis-payroll-id" skill so PPh 21 / BPJS math is validated consistently.</w:t>
      </w:r>
    </w:p>
    <w:p>
      <w:pPr>
        <w:pStyle w:val="ListParagraph"/>
        <w:numPr>
          <w:ilvl w:val="0"/>
          <w:numId w:val="2"/>
        </w:numPr>
      </w:pPr>
      <w:r>
        <w:rPr>
          <w:b/>
          <w:bCs/>
        </w:rPr>
        <w:t xml:space="preserve">xlsx skill</w:t>
      </w:r>
      <w:r>
        <w:t xml:space="preserve"> — generate the BPJS/PPh 21 reference workbooks and payroll test fixtures.</w:t>
      </w:r>
    </w:p>
    <w:p>
      <w:pPr>
        <w:pStyle w:val="ListParagraph"/>
        <w:numPr>
          <w:ilvl w:val="0"/>
          <w:numId w:val="2"/>
        </w:numPr>
      </w:pPr>
      <w:r>
        <w:rPr>
          <w:b/>
          <w:bCs/>
        </w:rPr>
        <w:t xml:space="preserve">A live Cowork artifact</w:t>
      </w:r>
      <w:r>
        <w:t xml:space="preserve"> — a "Nexis build tracker" page that shows stage progress and refreshes on open.</w:t>
      </w:r>
    </w:p>
    <w:p>
      <w:pPr>
        <w:pStyle w:val="Heading1"/>
      </w:pPr>
      <w:r>
        <w:t xml:space="preserve">9. Deliverables in This Package</w:t>
      </w:r>
    </w:p>
    <w:p>
      <w:pPr>
        <w:pStyle w:val="ListParagraph"/>
        <w:numPr>
          <w:ilvl w:val="0"/>
          <w:numId w:val="2"/>
        </w:numPr>
      </w:pPr>
      <w:r>
        <w:rPr>
          <w:b/>
          <w:bCs/>
        </w:rPr>
        <w:t xml:space="preserve">AGENTS.md</w:t>
      </w:r>
      <w:r>
        <w:t xml:space="preserve"> — root agent rules (read first).</w:t>
      </w:r>
    </w:p>
    <w:p>
      <w:pPr>
        <w:pStyle w:val="ListParagraph"/>
        <w:numPr>
          <w:ilvl w:val="0"/>
          <w:numId w:val="2"/>
        </w:numPr>
      </w:pPr>
      <w:r>
        <w:rPr>
          <w:b/>
          <w:bCs/>
        </w:rPr>
        <w:t xml:space="preserve">README.md</w:t>
      </w:r>
      <w:r>
        <w:t xml:space="preserve"> — how to drive the build with an AI agent, including a suggested first prompt.</w:t>
      </w:r>
    </w:p>
    <w:p>
      <w:pPr>
        <w:pStyle w:val="ListParagraph"/>
        <w:numPr>
          <w:ilvl w:val="0"/>
          <w:numId w:val="2"/>
        </w:numPr>
      </w:pPr>
      <w:r>
        <w:rPr>
          <w:b/>
          <w:bCs/>
        </w:rPr>
        <w:t xml:space="preserve">docs/00–07</w:t>
      </w:r>
      <w:r>
        <w:t xml:space="preserve"> — product vision, architecture, tech stack, database schema (+ full SQL &amp; RLS), roadmap, Indonesian compliance reference, design system, and security/privacy.</w:t>
      </w:r>
    </w:p>
    <w:p>
      <w:pPr>
        <w:pStyle w:val="ListParagraph"/>
        <w:numPr>
          <w:ilvl w:val="0"/>
          <w:numId w:val="2"/>
        </w:numPr>
      </w:pPr>
      <w:r>
        <w:rPr>
          <w:b/>
          <w:bCs/>
        </w:rPr>
        <w:t xml:space="preserve">docs/stages/stage-01..07</w:t>
      </w:r>
      <w:r>
        <w:t xml:space="preserve"> — per-stage build specs; Stage 1 is implementation-ready.</w:t>
      </w:r>
    </w:p>
    <w:p>
      <w:pPr>
        <w:pStyle w:val="ListParagraph"/>
        <w:numPr>
          <w:ilvl w:val="0"/>
          <w:numId w:val="2"/>
        </w:numPr>
      </w:pPr>
      <w:r>
        <w:rPr>
          <w:b/>
          <w:bCs/>
        </w:rPr>
        <w:t xml:space="preserve">This master document</w:t>
      </w:r>
      <w:r>
        <w:t xml:space="preserve"> — stakeholder-facing summary of the whole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6" w:space="6"/>
      </w:pBdr>
      <w:jc w:val="right"/>
    </w:pPr>
    <w:r>
      <w:rPr>
        <w:color w:val="64748B"/>
        <w:sz w:val="16"/>
        <w:szCs w:val="16"/>
      </w:rPr>
      <w:t xml:space="preserve">Nexis — Technical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6FE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2026-06-02T04:42:51.289Z</dcterms:created>
  <dcterms:modified xsi:type="dcterms:W3CDTF">2026-06-02T04:42:51.289Z</dcterms:modified>
</cp:coreProperties>
</file>

<file path=docProps/custom.xml><?xml version="1.0" encoding="utf-8"?>
<Properties xmlns="http://schemas.openxmlformats.org/officeDocument/2006/custom-properties" xmlns:vt="http://schemas.openxmlformats.org/officeDocument/2006/docPropsVTypes"/>
</file>