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9972"/>
      </w:tblGrid>
      <w:tr>
        <w:tc>
          <w:tcPr>
            <w:tcW w:type="dxa" w:w="9972"/>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jc w:val="center"/>
            </w:pPr>
            <w:r>
              <w:rPr>
                <w:rFonts w:ascii="Calibri" w:cs="Calibri" w:eastAsia="Calibri" w:hAnsi="Calibri"/>
                <w:b/>
                <w:bCs/>
                <w:i w:val="false"/>
                <w:iCs w:val="false"/>
                <w:color w:val="FFFFFF"/>
                <w:sz w:val="24"/>
                <w:szCs w:val="24"/>
              </w:rPr>
              <w:t xml:space="preserve">COLEGIO MARÍA AUXILIADORA DE SOACHA</w:t>
            </w:r>
          </w:p>
        </w:tc>
      </w:tr>
      <w:tr>
        <w:tc>
          <w:tcPr>
            <w:tcW w:type="dxa" w:w="9972"/>
            <w:tcBorders>
              <w:top w:val="single" w:color="BFBFBF" w:sz="4"/>
              <w:left w:val="single" w:color="BFBFBF" w:sz="4"/>
              <w:bottom w:val="single" w:color="BFBFBF" w:sz="4"/>
              <w:right w:val="single" w:color="BFBFBF" w:sz="4"/>
            </w:tcBorders>
            <w:shd w:fill="2E75B6" w:color="auto" w:val="clear"/>
            <w:tcMar>
              <w:top w:type="dxa" w:w="35"/>
              <w:left w:type="dxa" w:w="60"/>
              <w:bottom w:type="dxa" w:w="35"/>
              <w:right w:type="dxa" w:w="60"/>
            </w:tcMar>
            <w:vAlign w:val="center"/>
          </w:tcPr>
          <w:p>
            <w:pPr>
              <w:spacing w:after="80" w:line="340" w:lineRule="auto"/>
              <w:jc w:val="center"/>
            </w:pPr>
            <w:r>
              <w:rPr>
                <w:rFonts w:ascii="Calibri" w:cs="Calibri" w:eastAsia="Calibri" w:hAnsi="Calibri"/>
                <w:b/>
                <w:bCs/>
                <w:i w:val="false"/>
                <w:iCs w:val="false"/>
                <w:color w:val="FFFFFF"/>
                <w:sz w:val="19"/>
                <w:szCs w:val="19"/>
              </w:rPr>
              <w:t xml:space="preserve">Andamiaje del PEI ajustado — estructura de cinco capítulos (Fase 5 · F5-T1)</w:t>
            </w:r>
          </w:p>
        </w:tc>
      </w:tr>
      <w:tr>
        <w:tc>
          <w:tcPr>
            <w:tcW w:type="dxa" w:w="9972"/>
            <w:tcBorders>
              <w:top w:val="single" w:color="BFBFBF" w:sz="4"/>
              <w:left w:val="single" w:color="BFBFBF" w:sz="4"/>
              <w:bottom w:val="single" w:color="BFBFBF" w:sz="4"/>
              <w:right w:val="single" w:color="BFBFBF" w:sz="4"/>
            </w:tcBorders>
            <w:shd w:fill="F2F7FB" w:color="auto" w:val="clear"/>
            <w:tcMar>
              <w:top w:type="dxa" w:w="35"/>
              <w:left w:type="dxa" w:w="60"/>
              <w:bottom w:type="dxa" w:w="35"/>
              <w:right w:type="dxa" w:w="60"/>
            </w:tcMar>
            <w:vAlign w:val="center"/>
          </w:tcPr>
          <w:p>
            <w:pPr>
              <w:spacing w:after="80" w:line="340" w:lineRule="auto"/>
              <w:jc w:val="center"/>
            </w:pPr>
            <w:r>
              <w:rPr>
                <w:rFonts w:ascii="Calibri" w:cs="Calibri" w:eastAsia="Calibri" w:hAnsi="Calibri"/>
                <w:b w:val="false"/>
                <w:bCs w:val="false"/>
                <w:i/>
                <w:iCs/>
                <w:color w:val="666666"/>
                <w:sz w:val="16"/>
                <w:szCs w:val="16"/>
              </w:rPr>
              <w:t xml:space="preserve">Propuesta técnica de EICIT · Circular 0064 de 2026 (SEM Soacha) · Documento de trabajo, versión de arranque</w:t>
            </w:r>
          </w:p>
        </w:tc>
      </w:tr>
    </w:tbl>
    <w:p>
      <w:pPr>
        <w:spacing w:after="40"/>
      </w:pPr>
      <w:r>
        <w:rPr>
          <w:rFonts w:ascii="Calibri" w:cs="Calibri" w:eastAsia="Calibri" w:hAnsi="Calibri"/>
          <w:b w:val="false"/>
          <w:bCs w:val="false"/>
          <w:i w:val="false"/>
          <w:iCs w:val="false"/>
          <w:color w:val="222222"/>
          <w:sz w:val="22"/>
          <w:szCs w:val="22"/>
        </w:rPr>
        <w:t xml:space="preserve"/>
      </w:r>
    </w:p>
    <w:p>
      <w:pPr>
        <w:pStyle w:val="Heading1"/>
        <w:spacing w:after="90" w:before="160" w:line="340" w:lineRule="auto"/>
      </w:pPr>
      <w:r>
        <w:rPr>
          <w:rFonts w:ascii="Calibri" w:cs="Calibri" w:eastAsia="Calibri" w:hAnsi="Calibri"/>
          <w:b/>
          <w:bCs/>
          <w:i w:val="false"/>
          <w:iCs w:val="false"/>
          <w:color w:val="1F4E79"/>
          <w:sz w:val="26"/>
          <w:szCs w:val="26"/>
        </w:rPr>
        <w:t xml:space="preserve">1. Propósito y encuadre</w:t>
      </w:r>
    </w:p>
    <w:p>
      <w:pPr>
        <w:spacing w:after="80" w:line="340" w:lineRule="auto"/>
      </w:pPr>
      <w:r>
        <w:rPr>
          <w:rFonts w:ascii="Calibri" w:cs="Calibri" w:eastAsia="Calibri" w:hAnsi="Calibri"/>
          <w:b w:val="false"/>
          <w:bCs w:val="false"/>
          <w:i w:val="false"/>
          <w:iCs w:val="false"/>
          <w:color w:val="222222"/>
          <w:sz w:val="22"/>
          <w:szCs w:val="22"/>
        </w:rPr>
        <w:t xml:space="preserve">Este andamiaje reorganiza el PEI en los cinco capítulos que exige el SEM (identidad institucional y las cuatro áreas de gestión), con sus ítems mínimos, y establece, ítem por ítem, de dónde proviene el contenido y en qué estado se encuentra. Es el contenedor sobre el cual se integran, en su momento, el modelo validado y las mallas.</w:t>
      </w:r>
    </w:p>
    <w:p>
      <w:pPr>
        <w:spacing w:after="80" w:line="340" w:lineRule="auto"/>
      </w:pPr>
      <w:r>
        <w:rPr>
          <w:rFonts w:ascii="Calibri" w:cs="Calibri" w:eastAsia="Calibri" w:hAnsi="Calibri"/>
          <w:b/>
          <w:bCs/>
          <w:i w:val="false"/>
          <w:iCs w:val="false"/>
          <w:color w:val="1F4E79"/>
          <w:sz w:val="22"/>
          <w:szCs w:val="22"/>
        </w:rPr>
        <w:t xml:space="preserve">Encuadre. </w:t>
      </w:r>
      <w:r>
        <w:rPr>
          <w:rFonts w:ascii="Calibri" w:cs="Calibri" w:eastAsia="Calibri" w:hAnsi="Calibri"/>
          <w:b w:val="false"/>
          <w:bCs w:val="false"/>
          <w:i w:val="false"/>
          <w:iCs w:val="false"/>
          <w:color w:val="222222"/>
          <w:sz w:val="22"/>
          <w:szCs w:val="22"/>
        </w:rPr>
        <w:t xml:space="preserve">EICIT propone este andamiaje; el Colegio reorganiza, delibera, decide y adopta (Consejo Académico → Consejo Directivo → resolución rectoral). No es el PEI final.</w:t>
      </w:r>
    </w:p>
    <w:p>
      <w:pPr>
        <w:spacing w:after="80" w:line="340" w:lineRule="auto"/>
      </w:pPr>
      <w:r>
        <w:rPr>
          <w:rFonts w:ascii="Calibri" w:cs="Calibri" w:eastAsia="Calibri" w:hAnsi="Calibri"/>
          <w:b/>
          <w:bCs/>
          <w:i w:val="false"/>
          <w:iCs w:val="false"/>
          <w:color w:val="1F4E79"/>
          <w:sz w:val="22"/>
          <w:szCs w:val="22"/>
        </w:rPr>
        <w:t xml:space="preserve">Estado. </w:t>
      </w:r>
      <w:r>
        <w:rPr>
          <w:rFonts w:ascii="Calibri" w:cs="Calibri" w:eastAsia="Calibri" w:hAnsi="Calibri"/>
          <w:b w:val="false"/>
          <w:bCs w:val="false"/>
          <w:i w:val="false"/>
          <w:iCs w:val="false"/>
          <w:color w:val="222222"/>
          <w:sz w:val="22"/>
          <w:szCs w:val="22"/>
        </w:rPr>
        <w:t xml:space="preserve">F5-T1 en curso. Se pueblan ahora los componentes que no dependen de insumos pendientes. Quedan como </w:t>
      </w:r>
      <w:r>
        <w:rPr>
          <w:rFonts w:ascii="Calibri" w:cs="Calibri" w:eastAsia="Calibri" w:hAnsi="Calibri"/>
          <w:b/>
          <w:bCs/>
          <w:i w:val="false"/>
          <w:iCs w:val="false"/>
          <w:color w:val="222222"/>
          <w:sz w:val="22"/>
          <w:szCs w:val="22"/>
        </w:rPr>
        <w:t xml:space="preserve">casillas reservadas (candado)</w:t>
      </w:r>
      <w:r>
        <w:rPr>
          <w:rFonts w:ascii="Calibri" w:cs="Calibri" w:eastAsia="Calibri" w:hAnsi="Calibri"/>
          <w:b w:val="false"/>
          <w:bCs w:val="false"/>
          <w:i w:val="false"/>
          <w:iCs w:val="false"/>
          <w:color w:val="222222"/>
          <w:sz w:val="22"/>
          <w:szCs w:val="22"/>
        </w:rPr>
        <w:t xml:space="preserve">: §3.2 Modelo pedagógico (a la espera del modelo validado) y §3.3 Planes de estudio / mallas (a la espera de la arquitectura y las mallas de la Fase 4).</w:t>
      </w:r>
    </w:p>
    <w:p>
      <w:pPr>
        <w:pStyle w:val="Heading1"/>
        <w:spacing w:after="90" w:before="160" w:line="340" w:lineRule="auto"/>
      </w:pPr>
      <w:r>
        <w:rPr>
          <w:rFonts w:ascii="Calibri" w:cs="Calibri" w:eastAsia="Calibri" w:hAnsi="Calibri"/>
          <w:b/>
          <w:bCs/>
          <w:i w:val="false"/>
          <w:iCs w:val="false"/>
          <w:color w:val="1F4E79"/>
          <w:sz w:val="26"/>
          <w:szCs w:val="26"/>
        </w:rPr>
        <w:t xml:space="preserve">2. Cómo leer el andamiaje</w:t>
      </w:r>
    </w:p>
    <w:p>
      <w:pPr>
        <w:spacing w:after="80" w:line="340" w:lineRule="auto"/>
      </w:pPr>
      <w:r>
        <w:rPr>
          <w:rFonts w:ascii="Calibri" w:cs="Calibri" w:eastAsia="Calibri" w:hAnsi="Calibri"/>
          <w:b w:val="false"/>
          <w:bCs w:val="false"/>
          <w:i w:val="false"/>
          <w:iCs w:val="false"/>
          <w:color w:val="222222"/>
          <w:sz w:val="22"/>
          <w:szCs w:val="22"/>
        </w:rPr>
        <w:t xml:space="preserve">Cada capítulo se presenta como una tabla. Las columnas indican:</w:t>
      </w:r>
    </w:p>
    <w:p>
      <w:pPr>
        <w:pStyle w:val="ListParagraph"/>
        <w:numPr>
          <w:ilvl w:val="0"/>
          <w:numId w:val="1"/>
        </w:numPr>
        <w:spacing w:after="80" w:line="340" w:lineRule="auto"/>
      </w:pPr>
      <w:r>
        <w:rPr>
          <w:rFonts w:ascii="Calibri" w:cs="Calibri" w:eastAsia="Calibri" w:hAnsi="Calibri"/>
          <w:b/>
          <w:bCs/>
          <w:i w:val="false"/>
          <w:iCs w:val="false"/>
          <w:color w:val="222222"/>
          <w:sz w:val="22"/>
          <w:szCs w:val="22"/>
        </w:rPr>
        <w:t xml:space="preserve">Ítem / componente</w:t>
      </w:r>
      <w:r>
        <w:rPr>
          <w:rFonts w:ascii="Calibri" w:cs="Calibri" w:eastAsia="Calibri" w:hAnsi="Calibri"/>
          <w:b w:val="false"/>
          <w:bCs w:val="false"/>
          <w:i w:val="false"/>
          <w:iCs w:val="false"/>
          <w:color w:val="222222"/>
          <w:sz w:val="22"/>
          <w:szCs w:val="22"/>
        </w:rPr>
        <w:t xml:space="preserve">: la sección exigida por la plantilla.</w:t>
      </w:r>
    </w:p>
    <w:p>
      <w:pPr>
        <w:pStyle w:val="ListParagraph"/>
        <w:numPr>
          <w:ilvl w:val="0"/>
          <w:numId w:val="1"/>
        </w:numPr>
        <w:spacing w:after="80" w:line="340" w:lineRule="auto"/>
      </w:pPr>
      <w:r>
        <w:rPr>
          <w:rFonts w:ascii="Calibri" w:cs="Calibri" w:eastAsia="Calibri" w:hAnsi="Calibri"/>
          <w:b/>
          <w:bCs/>
          <w:i w:val="false"/>
          <w:iCs w:val="false"/>
          <w:color w:val="222222"/>
          <w:sz w:val="22"/>
          <w:szCs w:val="22"/>
        </w:rPr>
        <w:t xml:space="preserve">Fuente</w:t>
      </w:r>
      <w:r>
        <w:rPr>
          <w:rFonts w:ascii="Calibri" w:cs="Calibri" w:eastAsia="Calibri" w:hAnsi="Calibri"/>
          <w:b w:val="false"/>
          <w:bCs w:val="false"/>
          <w:i w:val="false"/>
          <w:iCs w:val="false"/>
          <w:color w:val="222222"/>
          <w:sz w:val="22"/>
          <w:szCs w:val="22"/>
        </w:rPr>
        <w:t xml:space="preserve">: de dónde sale el contenido — PEI vigente (migrar), insumo del Colegio, producto de una fase, o por crear.</w:t>
      </w:r>
    </w:p>
    <w:p>
      <w:pPr>
        <w:pStyle w:val="ListParagraph"/>
        <w:numPr>
          <w:ilvl w:val="0"/>
          <w:numId w:val="1"/>
        </w:numPr>
        <w:spacing w:after="80" w:line="340" w:lineRule="auto"/>
      </w:pPr>
      <w:r>
        <w:rPr>
          <w:rFonts w:ascii="Calibri" w:cs="Calibri" w:eastAsia="Calibri" w:hAnsi="Calibri"/>
          <w:b/>
          <w:bCs/>
          <w:i w:val="false"/>
          <w:iCs w:val="false"/>
          <w:color w:val="222222"/>
          <w:sz w:val="22"/>
          <w:szCs w:val="22"/>
        </w:rPr>
        <w:t xml:space="preserve">Estado</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Migrar</w:t>
      </w:r>
      <w:r>
        <w:rPr>
          <w:rFonts w:ascii="Calibri" w:cs="Calibri" w:eastAsia="Calibri" w:hAnsi="Calibri"/>
          <w:b w:val="false"/>
          <w:bCs w:val="false"/>
          <w:i w:val="false"/>
          <w:iCs w:val="false"/>
          <w:color w:val="222222"/>
          <w:sz w:val="22"/>
          <w:szCs w:val="22"/>
        </w:rPr>
        <w:t xml:space="preserve"> (trasladar del PEI vigente), </w:t>
      </w:r>
      <w:r>
        <w:rPr>
          <w:rFonts w:ascii="Calibri" w:cs="Calibri" w:eastAsia="Calibri" w:hAnsi="Calibri"/>
          <w:b/>
          <w:bCs/>
          <w:i w:val="false"/>
          <w:iCs w:val="false"/>
          <w:color w:val="222222"/>
          <w:sz w:val="22"/>
          <w:szCs w:val="22"/>
        </w:rPr>
        <w:t xml:space="preserve">Referentes</w:t>
      </w:r>
      <w:r>
        <w:rPr>
          <w:rFonts w:ascii="Calibri" w:cs="Calibri" w:eastAsia="Calibri" w:hAnsi="Calibri"/>
          <w:b w:val="false"/>
          <w:bCs w:val="false"/>
          <w:i w:val="false"/>
          <w:iCs w:val="false"/>
          <w:color w:val="222222"/>
          <w:sz w:val="22"/>
          <w:szCs w:val="22"/>
        </w:rPr>
        <w:t xml:space="preserve"> (incorporar los referentes asignados), </w:t>
      </w:r>
      <w:r>
        <w:rPr>
          <w:rFonts w:ascii="Calibri" w:cs="Calibri" w:eastAsia="Calibri" w:hAnsi="Calibri"/>
          <w:b/>
          <w:bCs/>
          <w:i w:val="false"/>
          <w:iCs w:val="false"/>
          <w:color w:val="222222"/>
          <w:sz w:val="22"/>
          <w:szCs w:val="22"/>
        </w:rPr>
        <w:t xml:space="preserve">Crear</w:t>
      </w:r>
      <w:r>
        <w:rPr>
          <w:rFonts w:ascii="Calibri" w:cs="Calibri" w:eastAsia="Calibri" w:hAnsi="Calibri"/>
          <w:b w:val="false"/>
          <w:bCs w:val="false"/>
          <w:i w:val="false"/>
          <w:iCs w:val="false"/>
          <w:color w:val="222222"/>
          <w:sz w:val="22"/>
          <w:szCs w:val="22"/>
        </w:rPr>
        <w:t xml:space="preserve"> (redactar por primera vez) o </w:t>
      </w:r>
      <w:r>
        <w:rPr>
          <w:rFonts w:ascii="Calibri" w:cs="Calibri" w:eastAsia="Calibri" w:hAnsi="Calibri"/>
          <w:b/>
          <w:bCs/>
          <w:i w:val="false"/>
          <w:iCs w:val="false"/>
          <w:color w:val="222222"/>
          <w:sz w:val="22"/>
          <w:szCs w:val="22"/>
        </w:rPr>
        <w:t xml:space="preserve">Candado</w:t>
      </w:r>
      <w:r>
        <w:rPr>
          <w:rFonts w:ascii="Calibri" w:cs="Calibri" w:eastAsia="Calibri" w:hAnsi="Calibri"/>
          <w:b w:val="false"/>
          <w:bCs w:val="false"/>
          <w:i w:val="false"/>
          <w:iCs w:val="false"/>
          <w:color w:val="222222"/>
          <w:sz w:val="22"/>
          <w:szCs w:val="22"/>
        </w:rPr>
        <w:t xml:space="preserve"> (esperar un insumo pendiente).</w:t>
      </w:r>
    </w:p>
    <w:p>
      <w:pPr>
        <w:pStyle w:val="ListParagraph"/>
        <w:numPr>
          <w:ilvl w:val="0"/>
          <w:numId w:val="1"/>
        </w:numPr>
        <w:spacing w:after="80" w:line="340" w:lineRule="auto"/>
      </w:pPr>
      <w:r>
        <w:rPr>
          <w:rFonts w:ascii="Calibri" w:cs="Calibri" w:eastAsia="Calibri" w:hAnsi="Calibri"/>
          <w:b/>
          <w:bCs/>
          <w:i w:val="false"/>
          <w:iCs w:val="false"/>
          <w:color w:val="222222"/>
          <w:sz w:val="22"/>
          <w:szCs w:val="22"/>
        </w:rPr>
        <w:t xml:space="preserve">Referentes</w:t>
      </w:r>
      <w:r>
        <w:rPr>
          <w:rFonts w:ascii="Calibri" w:cs="Calibri" w:eastAsia="Calibri" w:hAnsi="Calibri"/>
          <w:b w:val="false"/>
          <w:bCs w:val="false"/>
          <w:i w:val="false"/>
          <w:iCs w:val="false"/>
          <w:color w:val="222222"/>
          <w:sz w:val="22"/>
          <w:szCs w:val="22"/>
        </w:rPr>
        <w:t xml:space="preserve">: los referentes de la Circular asignados a ese componente (Tarea 9). El detalle de cada uno está en su ficha.</w:t>
      </w:r>
    </w:p>
    <w:p>
      <w:pPr>
        <w:pStyle w:val="ListParagraph"/>
        <w:numPr>
          <w:ilvl w:val="0"/>
          <w:numId w:val="1"/>
        </w:numPr>
        <w:spacing w:after="80" w:line="340" w:lineRule="auto"/>
      </w:pPr>
      <w:r>
        <w:rPr>
          <w:rFonts w:ascii="Calibri" w:cs="Calibri" w:eastAsia="Calibri" w:hAnsi="Calibri"/>
          <w:b/>
          <w:bCs/>
          <w:i w:val="false"/>
          <w:iCs w:val="false"/>
          <w:color w:val="222222"/>
          <w:sz w:val="22"/>
          <w:szCs w:val="22"/>
        </w:rPr>
        <w:t xml:space="preserve">Destino</w:t>
      </w:r>
      <w:r>
        <w:rPr>
          <w:rFonts w:ascii="Calibri" w:cs="Calibri" w:eastAsia="Calibri" w:hAnsi="Calibri"/>
          <w:b w:val="false"/>
          <w:bCs w:val="false"/>
          <w:i w:val="false"/>
          <w:iCs w:val="false"/>
          <w:color w:val="222222"/>
          <w:sz w:val="22"/>
          <w:szCs w:val="22"/>
        </w:rPr>
        <w:t xml:space="preserve">: si el contenido queda en el PEI (límite de 50 páginas) o se relocaliza como anexo en Drive.</w:t>
      </w:r>
    </w:p>
    <w:p>
      <w:pPr>
        <w:pStyle w:val="Heading1"/>
        <w:spacing w:after="90" w:before="160" w:line="340" w:lineRule="auto"/>
      </w:pPr>
      <w:r>
        <w:rPr>
          <w:rFonts w:ascii="Calibri" w:cs="Calibri" w:eastAsia="Calibri" w:hAnsi="Calibri"/>
          <w:b/>
          <w:bCs/>
          <w:i w:val="false"/>
          <w:iCs w:val="false"/>
          <w:color w:val="1F4E79"/>
          <w:sz w:val="26"/>
          <w:szCs w:val="26"/>
        </w:rPr>
        <w:t xml:space="preserve">3. Estructura de los cinco capítulos</w:t>
      </w:r>
    </w:p>
    <w:p>
      <w:pPr>
        <w:pStyle w:val="Heading2"/>
        <w:spacing w:after="50" w:before="110" w:line="340" w:lineRule="auto"/>
      </w:pPr>
      <w:r>
        <w:rPr>
          <w:rFonts w:ascii="Calibri" w:cs="Calibri" w:eastAsia="Calibri" w:hAnsi="Calibri"/>
          <w:b/>
          <w:bCs/>
          <w:i w:val="false"/>
          <w:iCs w:val="false"/>
          <w:color w:val="2E75B6"/>
          <w:sz w:val="22"/>
          <w:szCs w:val="22"/>
        </w:rPr>
        <w:t xml:space="preserve">Capítulo 1 · Identidad institucional</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3050"/>
        <w:gridCol w:w="1900"/>
        <w:gridCol w:w="1350"/>
        <w:gridCol w:w="2522"/>
        <w:gridCol w:w="1150"/>
      </w:tblGrid>
      <w:tr>
        <w:trPr>
          <w:tblHeader/>
        </w:trPr>
        <w:tc>
          <w:tcPr>
            <w:tcW w:type="dxa" w:w="30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Ítem / componente</w:t>
            </w:r>
          </w:p>
        </w:tc>
        <w:tc>
          <w:tcPr>
            <w:tcW w:type="dxa" w:w="190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Fuente</w:t>
            </w:r>
          </w:p>
        </w:tc>
        <w:tc>
          <w:tcPr>
            <w:tcW w:type="dxa" w:w="13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Estado</w:t>
            </w:r>
          </w:p>
        </w:tc>
        <w:tc>
          <w:tcPr>
            <w:tcW w:type="dxa" w:w="2522"/>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Referentes</w:t>
            </w:r>
          </w:p>
        </w:tc>
        <w:tc>
          <w:tcPr>
            <w:tcW w:type="dxa" w:w="11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Destino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1.1 Datos generales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1.2 Reseña histórica y proyección</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actualizar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1.3 Emblemas o símbolos institucionales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bl>
    <w:p>
      <w:pPr>
        <w:spacing w:after="60"/>
      </w:pPr>
      <w:r>
        <w:rPr>
          <w:rFonts w:ascii="Calibri" w:cs="Calibri" w:eastAsia="Calibri" w:hAnsi="Calibri"/>
          <w:b w:val="false"/>
          <w:bCs w:val="false"/>
          <w:i/>
          <w:iCs/>
          <w:color w:val="666666"/>
          <w:sz w:val="16"/>
          <w:szCs w:val="16"/>
        </w:rPr>
        <w:t xml:space="preserve">Nota: la reseña se actualiza para reflejar el cierre del ciclo de Normal Superior y la denominación vigente (CMA), conservando el legado normalista.</w:t>
      </w:r>
    </w:p>
    <w:p>
      <w:pPr>
        <w:pStyle w:val="Heading2"/>
        <w:spacing w:after="50" w:before="110" w:line="340" w:lineRule="auto"/>
      </w:pPr>
      <w:r>
        <w:rPr>
          <w:rFonts w:ascii="Calibri" w:cs="Calibri" w:eastAsia="Calibri" w:hAnsi="Calibri"/>
          <w:b/>
          <w:bCs/>
          <w:i w:val="false"/>
          <w:iCs w:val="false"/>
          <w:color w:val="2E75B6"/>
          <w:sz w:val="22"/>
          <w:szCs w:val="22"/>
        </w:rPr>
        <w:t xml:space="preserve">Capítulo 2 · Gestión directiva</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3050"/>
        <w:gridCol w:w="1900"/>
        <w:gridCol w:w="1350"/>
        <w:gridCol w:w="2522"/>
        <w:gridCol w:w="1150"/>
      </w:tblGrid>
      <w:tr>
        <w:trPr>
          <w:tblHeader/>
        </w:trPr>
        <w:tc>
          <w:tcPr>
            <w:tcW w:type="dxa" w:w="30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Ítem / componente</w:t>
            </w:r>
          </w:p>
        </w:tc>
        <w:tc>
          <w:tcPr>
            <w:tcW w:type="dxa" w:w="190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Fuente</w:t>
            </w:r>
          </w:p>
        </w:tc>
        <w:tc>
          <w:tcPr>
            <w:tcW w:type="dxa" w:w="13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Estado</w:t>
            </w:r>
          </w:p>
        </w:tc>
        <w:tc>
          <w:tcPr>
            <w:tcW w:type="dxa" w:w="2522"/>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Referentes</w:t>
            </w:r>
          </w:p>
        </w:tc>
        <w:tc>
          <w:tcPr>
            <w:tcW w:type="dxa" w:w="11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Destino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2.1 Caracterización institucional</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Autoeval. 1.2.4</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Referentes</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REF-24</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2.2 Filosofía o fundamentos del PEI</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2.3 Horizonte institucional</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2.4 Políticas institucionales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2.5 Política de calidad</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revisar</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crear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2.6 Política de inclusión</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revisar</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crear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2.7 Objetivos y metas institucionales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(9.1–9.2)</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reubicar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bl>
    <w:p>
      <w:pPr>
        <w:pStyle w:val="Heading2"/>
        <w:spacing w:after="50" w:before="110" w:line="340" w:lineRule="auto"/>
      </w:pPr>
      <w:r>
        <w:rPr>
          <w:rFonts w:ascii="Calibri" w:cs="Calibri" w:eastAsia="Calibri" w:hAnsi="Calibri"/>
          <w:b/>
          <w:bCs/>
          <w:i w:val="false"/>
          <w:iCs w:val="false"/>
          <w:color w:val="2E75B6"/>
          <w:sz w:val="22"/>
          <w:szCs w:val="22"/>
        </w:rPr>
        <w:t xml:space="preserve">Capítulo 3 · Gestión académica</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3050"/>
        <w:gridCol w:w="1900"/>
        <w:gridCol w:w="1350"/>
        <w:gridCol w:w="2522"/>
        <w:gridCol w:w="1150"/>
      </w:tblGrid>
      <w:tr>
        <w:trPr>
          <w:tblHeader/>
        </w:trPr>
        <w:tc>
          <w:tcPr>
            <w:tcW w:type="dxa" w:w="30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Ítem / componente</w:t>
            </w:r>
          </w:p>
        </w:tc>
        <w:tc>
          <w:tcPr>
            <w:tcW w:type="dxa" w:w="190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Fuente</w:t>
            </w:r>
          </w:p>
        </w:tc>
        <w:tc>
          <w:tcPr>
            <w:tcW w:type="dxa" w:w="13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Estado</w:t>
            </w:r>
          </w:p>
        </w:tc>
        <w:tc>
          <w:tcPr>
            <w:tcW w:type="dxa" w:w="2522"/>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Referentes</w:t>
            </w:r>
          </w:p>
        </w:tc>
        <w:tc>
          <w:tcPr>
            <w:tcW w:type="dxa" w:w="11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Destino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3.1 Lineamientos de la propuesta pedagógica y curricular</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referentes</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Referentes</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REF-15, REF-18, REF-22</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BF9000"/>
                <w:sz w:val="17"/>
                <w:szCs w:val="17"/>
              </w:rPr>
              <w:t xml:space="preserve">3.2 Modelo y/o enfoque pedagógico</w:t>
            </w:r>
          </w:p>
        </w:tc>
        <w:tc>
          <w:tcPr>
            <w:tcW w:type="dxa" w:w="190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Modelo validado (F3)</w:t>
            </w:r>
          </w:p>
        </w:tc>
        <w:tc>
          <w:tcPr>
            <w:tcW w:type="dxa" w:w="13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BF9000"/>
                <w:sz w:val="16"/>
                <w:szCs w:val="16"/>
              </w:rPr>
              <w:t xml:space="preserve">CANDADO</w:t>
            </w:r>
          </w:p>
        </w:tc>
        <w:tc>
          <w:tcPr>
            <w:tcW w:type="dxa" w:w="2522"/>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En espera: REF-02, REF-07★, REF-17, REF-23, REF-25, REF-26</w:t>
            </w:r>
          </w:p>
        </w:tc>
        <w:tc>
          <w:tcPr>
            <w:tcW w:type="dxa" w:w="11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BF9000"/>
                <w:sz w:val="17"/>
                <w:szCs w:val="17"/>
              </w:rPr>
              <w:t xml:space="preserve">3.3 Planes de estudio (organización curricular)</w:t>
            </w:r>
          </w:p>
        </w:tc>
        <w:tc>
          <w:tcPr>
            <w:tcW w:type="dxa" w:w="190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Arquitectura + mallas (F4)</w:t>
            </w:r>
          </w:p>
        </w:tc>
        <w:tc>
          <w:tcPr>
            <w:tcW w:type="dxa" w:w="13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BF9000"/>
                <w:sz w:val="16"/>
                <w:szCs w:val="16"/>
              </w:rPr>
              <w:t xml:space="preserve">CANDADO</w:t>
            </w:r>
          </w:p>
        </w:tc>
        <w:tc>
          <w:tcPr>
            <w:tcW w:type="dxa" w:w="2522"/>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PEI/Anexo</w:t>
            </w:r>
          </w:p>
        </w:tc>
      </w:tr>
      <w:tr>
        <w:tc>
          <w:tcPr>
            <w:tcW w:type="dxa" w:w="30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BF9000"/>
                <w:sz w:val="17"/>
                <w:szCs w:val="17"/>
              </w:rPr>
              <w:t xml:space="preserve">   3.3.1 Organización curricular · preescolar</w:t>
            </w:r>
          </w:p>
        </w:tc>
        <w:tc>
          <w:tcPr>
            <w:tcW w:type="dxa" w:w="190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Mallas F4</w:t>
            </w:r>
          </w:p>
        </w:tc>
        <w:tc>
          <w:tcPr>
            <w:tcW w:type="dxa" w:w="13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BF9000"/>
                <w:sz w:val="16"/>
                <w:szCs w:val="16"/>
              </w:rPr>
              <w:t xml:space="preserve">CANDADO</w:t>
            </w:r>
          </w:p>
        </w:tc>
        <w:tc>
          <w:tcPr>
            <w:tcW w:type="dxa" w:w="2522"/>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PEI/Anexo</w:t>
            </w:r>
          </w:p>
        </w:tc>
      </w:tr>
      <w:tr>
        <w:tc>
          <w:tcPr>
            <w:tcW w:type="dxa" w:w="30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BF9000"/>
                <w:sz w:val="17"/>
                <w:szCs w:val="17"/>
              </w:rPr>
              <w:t xml:space="preserve">   3.3.2 Plan de estudios · básica y media</w:t>
            </w:r>
          </w:p>
        </w:tc>
        <w:tc>
          <w:tcPr>
            <w:tcW w:type="dxa" w:w="190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Mallas F4</w:t>
            </w:r>
          </w:p>
        </w:tc>
        <w:tc>
          <w:tcPr>
            <w:tcW w:type="dxa" w:w="13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BF9000"/>
                <w:sz w:val="16"/>
                <w:szCs w:val="16"/>
              </w:rPr>
              <w:t xml:space="preserve">CANDADO</w:t>
            </w:r>
          </w:p>
        </w:tc>
        <w:tc>
          <w:tcPr>
            <w:tcW w:type="dxa" w:w="2522"/>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En espera: REF-10, REF-19, REF-20, REF-21, REF-27</w:t>
            </w:r>
          </w:p>
        </w:tc>
        <w:tc>
          <w:tcPr>
            <w:tcW w:type="dxa" w:w="11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PEI/Anexo</w:t>
            </w:r>
          </w:p>
        </w:tc>
      </w:tr>
      <w:tr>
        <w:tc>
          <w:tcPr>
            <w:tcW w:type="dxa" w:w="30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BF9000"/>
                <w:sz w:val="17"/>
                <w:szCs w:val="17"/>
              </w:rPr>
              <w:t xml:space="preserve">   3.3.3 Media técnica (Analítica de Datos)</w:t>
            </w:r>
          </w:p>
        </w:tc>
        <w:tc>
          <w:tcPr>
            <w:tcW w:type="dxa" w:w="190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Ruta paralela 1.5.5</w:t>
            </w:r>
          </w:p>
        </w:tc>
        <w:tc>
          <w:tcPr>
            <w:tcW w:type="dxa" w:w="13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BF9000"/>
                <w:sz w:val="16"/>
                <w:szCs w:val="16"/>
              </w:rPr>
              <w:t xml:space="preserve">CANDADO</w:t>
            </w:r>
          </w:p>
        </w:tc>
        <w:tc>
          <w:tcPr>
            <w:tcW w:type="dxa" w:w="2522"/>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shd w:fill="FBF3DC" w:color="auto" w:val="clear"/>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PEI/Anexo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   3.3.4 Proyectos transversales y cátedras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referentes</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Referentes</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REF-04, REF-08, REF-09, REF-11, REF-12</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(desarrollo a anexo)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   3.3.5 SIEE</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Insumo CMA (SIEE jul-2026) + ref.</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Referenciar + Referentes</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REF-06</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(SIEE completo a anexo)</w:t>
            </w:r>
          </w:p>
        </w:tc>
      </w:tr>
    </w:tbl>
    <w:p>
      <w:pPr>
        <w:spacing w:after="60"/>
      </w:pPr>
      <w:r>
        <w:rPr>
          <w:rFonts w:ascii="Calibri" w:cs="Calibri" w:eastAsia="Calibri" w:hAnsi="Calibri"/>
          <w:b w:val="false"/>
          <w:bCs w:val="false"/>
          <w:i/>
          <w:iCs/>
          <w:color w:val="666666"/>
          <w:sz w:val="16"/>
          <w:szCs w:val="16"/>
        </w:rPr>
        <w:t xml:space="preserve">§3.2 y §3.3 son las casillas reservadas. Se completan con el modelo validado (esta semana) y con las mallas de la Fase 4. Los referentes «en espera» quedan preasignados para no perderlos.</w:t>
      </w:r>
    </w:p>
    <w:p>
      <w:pPr>
        <w:pStyle w:val="Heading2"/>
        <w:spacing w:after="50" w:before="110" w:line="340" w:lineRule="auto"/>
      </w:pPr>
      <w:r>
        <w:rPr>
          <w:rFonts w:ascii="Calibri" w:cs="Calibri" w:eastAsia="Calibri" w:hAnsi="Calibri"/>
          <w:b/>
          <w:bCs/>
          <w:i w:val="false"/>
          <w:iCs w:val="false"/>
          <w:color w:val="2E75B6"/>
          <w:sz w:val="22"/>
          <w:szCs w:val="22"/>
        </w:rPr>
        <w:t xml:space="preserve">Capítulo 4 · Gestión de la comunidad</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3050"/>
        <w:gridCol w:w="1900"/>
        <w:gridCol w:w="1350"/>
        <w:gridCol w:w="2522"/>
        <w:gridCol w:w="1150"/>
      </w:tblGrid>
      <w:tr>
        <w:trPr>
          <w:tblHeader/>
        </w:trPr>
        <w:tc>
          <w:tcPr>
            <w:tcW w:type="dxa" w:w="30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Ítem / componente</w:t>
            </w:r>
          </w:p>
        </w:tc>
        <w:tc>
          <w:tcPr>
            <w:tcW w:type="dxa" w:w="190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Fuente</w:t>
            </w:r>
          </w:p>
        </w:tc>
        <w:tc>
          <w:tcPr>
            <w:tcW w:type="dxa" w:w="13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Estado</w:t>
            </w:r>
          </w:p>
        </w:tc>
        <w:tc>
          <w:tcPr>
            <w:tcW w:type="dxa" w:w="2522"/>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Referentes</w:t>
            </w:r>
          </w:p>
        </w:tc>
        <w:tc>
          <w:tcPr>
            <w:tcW w:type="dxa" w:w="11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Destino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4.1 Manual de convivencia</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Insumo CMA + referentes</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Referentes</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REF-03 (dos capas), REF-05, REF-13, REF-28, REF-29</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(manual completo a anexo)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4.2 Procesos de articulación y servicios complementarios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convenio</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Reubicar (F5-T4)</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Cooperación EICIT</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4.3 Servicio Social Escolar Obligatorio (SSEO)</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insumo CMA</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(manual a anexo)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4.4 Alianza familia-escuela</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referentes</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Referentes</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REF-01, REF-30</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4.5 Acogida a estudiantes nuevos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Por crear + referente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Crear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REF-16</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4.6 Seguimiento a egresados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(Proy. egresadas)</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4.7 Plan escolar de gestión del riesgo (PEGR)</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Insumo CMA + referentes</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Referentes</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REF-14, REF-31</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(PEGR completo a anexo)</w:t>
            </w:r>
          </w:p>
        </w:tc>
      </w:tr>
    </w:tbl>
    <w:p>
      <w:pPr>
        <w:pStyle w:val="Heading2"/>
        <w:spacing w:after="50" w:before="110" w:line="340" w:lineRule="auto"/>
      </w:pPr>
      <w:r>
        <w:rPr>
          <w:rFonts w:ascii="Calibri" w:cs="Calibri" w:eastAsia="Calibri" w:hAnsi="Calibri"/>
          <w:b/>
          <w:bCs/>
          <w:i w:val="false"/>
          <w:iCs w:val="false"/>
          <w:color w:val="2E75B6"/>
          <w:sz w:val="22"/>
          <w:szCs w:val="22"/>
        </w:rPr>
        <w:t xml:space="preserve">Capítulo 5 · Gestión administrativa y financiera</w:t>
      </w:r>
    </w:p>
    <w:tbl>
      <w:tblPr>
        <w:tblW w:type="dxa" w:w="9972"/>
        <w:tblBorders>
          <w:top w:val="single" w:color="BFBFBF" w:sz="4"/>
          <w:left w:val="single" w:color="BFBFBF" w:sz="4"/>
          <w:bottom w:val="single" w:color="BFBFBF" w:sz="4"/>
          <w:right w:val="single" w:color="BFBFBF" w:sz="4"/>
          <w:insideH w:val="single" w:color="BFBFBF" w:sz="4"/>
          <w:insideV w:val="single" w:color="BFBFBF" w:sz="4"/>
        </w:tblBorders>
      </w:tblPr>
      <w:tblGrid>
        <w:gridCol w:w="3050"/>
        <w:gridCol w:w="1900"/>
        <w:gridCol w:w="1350"/>
        <w:gridCol w:w="2522"/>
        <w:gridCol w:w="1150"/>
      </w:tblGrid>
      <w:tr>
        <w:trPr>
          <w:tblHeader/>
        </w:trPr>
        <w:tc>
          <w:tcPr>
            <w:tcW w:type="dxa" w:w="30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Ítem / componente</w:t>
            </w:r>
          </w:p>
        </w:tc>
        <w:tc>
          <w:tcPr>
            <w:tcW w:type="dxa" w:w="190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Fuente</w:t>
            </w:r>
          </w:p>
        </w:tc>
        <w:tc>
          <w:tcPr>
            <w:tcW w:type="dxa" w:w="13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Estado</w:t>
            </w:r>
          </w:p>
        </w:tc>
        <w:tc>
          <w:tcPr>
            <w:tcW w:type="dxa" w:w="2522"/>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Referentes</w:t>
            </w:r>
          </w:p>
        </w:tc>
        <w:tc>
          <w:tcPr>
            <w:tcW w:type="dxa" w:w="1150"/>
            <w:tcBorders>
              <w:top w:val="single" w:color="BFBFBF" w:sz="4"/>
              <w:left w:val="single" w:color="BFBFBF" w:sz="4"/>
              <w:bottom w:val="single" w:color="BFBFBF" w:sz="4"/>
              <w:right w:val="single" w:color="BFBFBF" w:sz="4"/>
            </w:tcBorders>
            <w:shd w:fill="1F4E79" w:color="auto" w:val="clear"/>
            <w:tcMar>
              <w:top w:type="dxa" w:w="35"/>
              <w:left w:type="dxa" w:w="60"/>
              <w:bottom w:type="dxa" w:w="35"/>
              <w:right w:type="dxa" w:w="60"/>
            </w:tcMar>
            <w:vAlign w:val="center"/>
          </w:tcPr>
          <w:p>
            <w:pPr>
              <w:spacing w:after="80" w:line="340" w:lineRule="auto"/>
            </w:pPr>
            <w:r>
              <w:rPr>
                <w:rFonts w:ascii="Calibri" w:cs="Calibri" w:eastAsia="Calibri" w:hAnsi="Calibri"/>
                <w:b/>
                <w:bCs/>
                <w:i w:val="false"/>
                <w:iCs w:val="false"/>
                <w:color w:val="FFFFFF"/>
                <w:sz w:val="17"/>
                <w:szCs w:val="17"/>
              </w:rPr>
              <w:t xml:space="preserve">Destino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5.1 Diseño organizacional y gobierno escolar</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insumo CMA</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(reforzar)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5.2 Proceso de matrícula</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insumo</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5.3 Proceso de actualización y capacitación</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5.4 Recursos físicos, tecnológicos, humanos y financieros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(5.5)</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5.5 Herramientas de gestión (Autoevaluación, PMI, POA)</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 + 1.2.4</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 / actualizar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(detalle a anexo)</w:t>
            </w:r>
          </w:p>
        </w:tc>
      </w:tr>
      <w:tr>
        <w:tc>
          <w:tcPr>
            <w:tcW w:type="dxa" w:w="30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7"/>
                <w:szCs w:val="17"/>
              </w:rPr>
              <w:t xml:space="preserve">5.6 Resolución de costos educativos</w:t>
            </w:r>
          </w:p>
        </w:tc>
        <w:tc>
          <w:tcPr>
            <w:tcW w:type="dxa" w:w="190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 vigente</w:t>
            </w:r>
          </w:p>
        </w:tc>
        <w:tc>
          <w:tcPr>
            <w:tcW w:type="dxa" w:w="13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Migrar</w:t>
            </w:r>
          </w:p>
        </w:tc>
        <w:tc>
          <w:tcPr>
            <w:tcW w:type="dxa" w:w="2522"/>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w:t>
            </w:r>
          </w:p>
        </w:tc>
        <w:tc>
          <w:tcPr>
            <w:tcW w:type="dxa" w:w="1150"/>
            <w:tcBorders>
              <w:top w:val="single" w:color="BFBFBF" w:sz="4"/>
              <w:left w:val="single" w:color="BFBFBF" w:sz="4"/>
              <w:bottom w:val="single" w:color="BFBFBF" w:sz="4"/>
              <w:right w:val="single" w:color="BFBFBF" w:sz="4"/>
            </w:tcBorders>
            <w:tcMar>
              <w:top w:type="dxa" w:w="35"/>
              <w:left w:type="dxa" w:w="60"/>
              <w:bottom w:type="dxa" w:w="35"/>
              <w:right w:type="dxa" w:w="60"/>
            </w:tcMar>
            <w:vAlign w:val="center"/>
          </w:tcPr>
          <w:p>
            <w:pPr>
              <w:spacing w:after="80" w:line="340" w:lineRule="auto"/>
            </w:pPr>
            <w:r>
              <w:rPr>
                <w:rFonts w:ascii="Calibri" w:cs="Calibri" w:eastAsia="Calibri" w:hAnsi="Calibri"/>
                <w:b w:val="false"/>
                <w:bCs w:val="false"/>
                <w:i w:val="false"/>
                <w:iCs w:val="false"/>
                <w:color w:val="222222"/>
                <w:sz w:val="16"/>
                <w:szCs w:val="16"/>
              </w:rPr>
              <w:t xml:space="preserve">PEI</w:t>
            </w:r>
          </w:p>
        </w:tc>
      </w:tr>
    </w:tbl>
    <w:p>
      <w:pPr>
        <w:pStyle w:val="Heading1"/>
        <w:spacing w:after="90" w:before="160" w:line="340" w:lineRule="auto"/>
      </w:pPr>
      <w:r>
        <w:rPr>
          <w:rFonts w:ascii="Calibri" w:cs="Calibri" w:eastAsia="Calibri" w:hAnsi="Calibri"/>
          <w:b/>
          <w:bCs/>
          <w:i w:val="false"/>
          <w:iCs w:val="false"/>
          <w:color w:val="1F4E79"/>
          <w:sz w:val="26"/>
          <w:szCs w:val="26"/>
        </w:rPr>
        <w:t xml:space="preserve">4. Ubicación de la cooperación EICIT (F5-T4)</w:t>
      </w:r>
    </w:p>
    <w:p>
      <w:pPr>
        <w:spacing w:after="80" w:line="340" w:lineRule="auto"/>
      </w:pPr>
      <w:r>
        <w:rPr>
          <w:rFonts w:ascii="Calibri" w:cs="Calibri" w:eastAsia="Calibri" w:hAnsi="Calibri"/>
          <w:b w:val="false"/>
          <w:bCs w:val="false"/>
          <w:i w:val="false"/>
          <w:iCs w:val="false"/>
          <w:color w:val="222222"/>
          <w:sz w:val="22"/>
          <w:szCs w:val="22"/>
        </w:rPr>
        <w:t xml:space="preserve">El PEI vigente relaciona el convenio EICIT–CMA dentro de Gestión de la Comunidad. Conforme a la plantilla, corresponde al componente de </w:t>
      </w:r>
      <w:r>
        <w:rPr>
          <w:rFonts w:ascii="Calibri" w:cs="Calibri" w:eastAsia="Calibri" w:hAnsi="Calibri"/>
          <w:b/>
          <w:bCs/>
          <w:i w:val="false"/>
          <w:iCs w:val="false"/>
          <w:color w:val="222222"/>
          <w:sz w:val="22"/>
          <w:szCs w:val="22"/>
        </w:rPr>
        <w:t xml:space="preserve">servicios adicionales o complementarios</w:t>
      </w:r>
      <w:r>
        <w:rPr>
          <w:rFonts w:ascii="Calibri" w:cs="Calibri" w:eastAsia="Calibri" w:hAnsi="Calibri"/>
          <w:b w:val="false"/>
          <w:bCs w:val="false"/>
          <w:i w:val="false"/>
          <w:iCs w:val="false"/>
          <w:color w:val="222222"/>
          <w:sz w:val="22"/>
          <w:szCs w:val="22"/>
        </w:rPr>
        <w:t xml:space="preserve"> (numeral 14 del art. 2.3.3.1.4.1). La redacción debe reflejar que el aporte de EICIT se realiza </w:t>
      </w:r>
      <w:r>
        <w:rPr>
          <w:rFonts w:ascii="Calibri" w:cs="Calibri" w:eastAsia="Calibri" w:hAnsi="Calibri"/>
          <w:b/>
          <w:bCs/>
          <w:i w:val="false"/>
          <w:iCs w:val="false"/>
          <w:color w:val="222222"/>
          <w:sz w:val="22"/>
          <w:szCs w:val="22"/>
        </w:rPr>
        <w:t xml:space="preserve">en comodato y en el marco de la cooperación institucional, sin constituir cobro a las familias</w:t>
      </w:r>
      <w:r>
        <w:rPr>
          <w:rFonts w:ascii="Calibri" w:cs="Calibri" w:eastAsia="Calibri" w:hAnsi="Calibri"/>
          <w:b w:val="false"/>
          <w:bCs w:val="false"/>
          <w:i w:val="false"/>
          <w:iCs w:val="false"/>
          <w:color w:val="222222"/>
          <w:sz w:val="22"/>
          <w:szCs w:val="22"/>
        </w:rPr>
        <w:t xml:space="preserve">, en concordancia con los conceptos que el SEM no autoriza dentro de los cobros periódicos. Se ubica en §4.2 (o en Gestión administrativa, según la instancia del Colegio). Esto resuelve el Hallazgo 6 del análisis de brechas.</w:t>
      </w:r>
    </w:p>
    <w:p>
      <w:pPr>
        <w:pStyle w:val="Heading1"/>
        <w:spacing w:after="90" w:before="160" w:line="340" w:lineRule="auto"/>
      </w:pPr>
      <w:r>
        <w:rPr>
          <w:rFonts w:ascii="Calibri" w:cs="Calibri" w:eastAsia="Calibri" w:hAnsi="Calibri"/>
          <w:b/>
          <w:bCs/>
          <w:i w:val="false"/>
          <w:iCs w:val="false"/>
          <w:color w:val="1F4E79"/>
          <w:sz w:val="26"/>
          <w:szCs w:val="26"/>
        </w:rPr>
        <w:t xml:space="preserve">5. Candados y pendientes</w:t>
      </w:r>
    </w:p>
    <w:p>
      <w:pPr>
        <w:pStyle w:val="ListParagraph"/>
        <w:numPr>
          <w:ilvl w:val="0"/>
          <w:numId w:val="1"/>
        </w:numPr>
        <w:spacing w:after="80" w:line="340" w:lineRule="auto"/>
      </w:pPr>
      <w:r>
        <w:rPr>
          <w:rFonts w:ascii="Calibri" w:cs="Calibri" w:eastAsia="Calibri" w:hAnsi="Calibri"/>
          <w:b/>
          <w:bCs/>
          <w:i w:val="false"/>
          <w:iCs w:val="false"/>
          <w:color w:val="BF9000"/>
          <w:sz w:val="22"/>
          <w:szCs w:val="22"/>
        </w:rPr>
        <w:t xml:space="preserve">§3.2 Modelo pedagógico</w:t>
      </w:r>
      <w:r>
        <w:rPr>
          <w:rFonts w:ascii="Calibri" w:cs="Calibri" w:eastAsia="Calibri" w:hAnsi="Calibri"/>
          <w:b w:val="false"/>
          <w:bCs w:val="false"/>
          <w:i w:val="false"/>
          <w:iCs w:val="false"/>
          <w:color w:val="222222"/>
          <w:sz w:val="22"/>
          <w:szCs w:val="22"/>
        </w:rPr>
        <w:t xml:space="preserve"> — casilla reservada. Se completa con el modelo validado (v1.1 + ajustes de la reunión de esta semana). Referentes preasignados: REF-02, REF-07★ (Ley 2491, ancla socioemocional), REF-17, REF-23, REF-25, REF-26.</w:t>
      </w:r>
    </w:p>
    <w:p>
      <w:pPr>
        <w:pStyle w:val="ListParagraph"/>
        <w:numPr>
          <w:ilvl w:val="0"/>
          <w:numId w:val="1"/>
        </w:numPr>
        <w:spacing w:after="80" w:line="340" w:lineRule="auto"/>
      </w:pPr>
      <w:r>
        <w:rPr>
          <w:rFonts w:ascii="Calibri" w:cs="Calibri" w:eastAsia="Calibri" w:hAnsi="Calibri"/>
          <w:b/>
          <w:bCs/>
          <w:i w:val="false"/>
          <w:iCs w:val="false"/>
          <w:color w:val="BF9000"/>
          <w:sz w:val="22"/>
          <w:szCs w:val="22"/>
        </w:rPr>
        <w:t xml:space="preserve">§3.3 Planes de estudio / mallas</w:t>
      </w:r>
      <w:r>
        <w:rPr>
          <w:rFonts w:ascii="Calibri" w:cs="Calibri" w:eastAsia="Calibri" w:hAnsi="Calibri"/>
          <w:b w:val="false"/>
          <w:bCs w:val="false"/>
          <w:i w:val="false"/>
          <w:iCs w:val="false"/>
          <w:color w:val="222222"/>
          <w:sz w:val="22"/>
          <w:szCs w:val="22"/>
        </w:rPr>
        <w:t xml:space="preserve"> — casilla reservada. Depende de la arquitectura (1.5.1) y las mallas (Fase 4). Referentes preasignados: REF-10, REF-19, REF-20, REF-21, REF-27. La media técnica se resuelve por la ruta paralela 1.5.5.</w:t>
      </w:r>
    </w:p>
    <w:p>
      <w:pPr>
        <w:pStyle w:val="Heading1"/>
        <w:spacing w:after="90" w:before="160" w:line="340" w:lineRule="auto"/>
      </w:pPr>
      <w:r>
        <w:rPr>
          <w:rFonts w:ascii="Calibri" w:cs="Calibri" w:eastAsia="Calibri" w:hAnsi="Calibri"/>
          <w:b/>
          <w:bCs/>
          <w:i w:val="false"/>
          <w:iCs w:val="false"/>
          <w:color w:val="1F4E79"/>
          <w:sz w:val="26"/>
          <w:szCs w:val="26"/>
        </w:rPr>
        <w:t xml:space="preserve">6. Estrategia PEI / anexos (límite de 50 páginas)</w:t>
      </w:r>
    </w:p>
    <w:p>
      <w:pPr>
        <w:spacing w:after="80" w:line="340" w:lineRule="auto"/>
      </w:pPr>
      <w:r>
        <w:rPr>
          <w:rFonts w:ascii="Calibri" w:cs="Calibri" w:eastAsia="Calibri" w:hAnsi="Calibri"/>
          <w:b w:val="false"/>
          <w:bCs w:val="false"/>
          <w:i w:val="false"/>
          <w:iCs w:val="false"/>
          <w:color w:val="222222"/>
          <w:sz w:val="22"/>
          <w:szCs w:val="22"/>
        </w:rPr>
        <w:t xml:space="preserve">El PEI conserva la síntesis de cada componente; los documentos extensos se relocalizan a Drive en modo lector y se enlazan. Van a anexos: el Manual de Convivencia y sus rutas, el SIEE completo, el PEGR, el desarrollo detallado de cada referente (semilla: documento de trabajo de la Tarea 9), las mallas por área y grado, y el detalle de autoevaluación, PMI y POA. La auditoría de numeración y el ajuste de forma (oficio, fuente 11, interlineado 1.5, PDF editable) se realizan al cierre (F5-T5 y F5-T6).</w:t>
      </w:r>
    </w:p>
    <w:p>
      <w:pPr>
        <w:spacing w:after="80" w:line="340" w:lineRule="auto"/>
      </w:pPr>
      <w:r>
        <w:rPr>
          <w:rFonts w:ascii="Calibri" w:cs="Calibri" w:eastAsia="Calibri" w:hAnsi="Calibri"/>
          <w:b/>
          <w:bCs/>
          <w:i w:val="false"/>
          <w:iCs w:val="false"/>
          <w:color w:val="1F4E79"/>
          <w:sz w:val="17"/>
          <w:szCs w:val="17"/>
        </w:rPr>
        <w:t xml:space="preserve">Nota. </w:t>
      </w:r>
      <w:r>
        <w:rPr>
          <w:rFonts w:ascii="Calibri" w:cs="Calibri" w:eastAsia="Calibri" w:hAnsi="Calibri"/>
          <w:b w:val="false"/>
          <w:bCs w:val="false"/>
          <w:i w:val="false"/>
          <w:iCs w:val="false"/>
          <w:color w:val="666666"/>
          <w:sz w:val="17"/>
          <w:szCs w:val="17"/>
        </w:rPr>
        <w:t xml:space="preserve">Andamiaje construido sobre los archivos reales del repositorio (Productos_Intermedios): PEI vigente, análisis de brechas, semáforo y fichas de referentes, y la incorporación de la Tarea 9. El mapeo de los 31 referentes proviene de la hoja «Fichas» del consolidado. Las secciones marcadas como candado no se redactan hasta contar con su insumo, para no generar retrabajo.</w:t>
      </w:r>
    </w:p>
    <w:sectPr>
      <w:pgSz w:w="12240" w:h="1872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2026-09-22T00:33:51.461Z</dcterms:created>
  <dcterms:modified xsi:type="dcterms:W3CDTF">2026-09-22T00:33:51.473Z</dcterms:modified>
</cp:coreProperties>
</file>

<file path=docProps/custom.xml><?xml version="1.0" encoding="utf-8"?>
<Properties xmlns="http://schemas.openxmlformats.org/officeDocument/2006/custom-properties" xmlns:vt="http://schemas.openxmlformats.org/officeDocument/2006/docPropsVTypes"/>
</file>