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PROYECCIÓN DEL CRONOGRAMA ACADÉMICO 2027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Número de semanas lectivas previstas:</w:t>
      </w:r>
      <w:r w:rsidDel="00000000" w:rsidR="00000000" w:rsidRPr="00000000">
        <w:rPr>
          <w:rtl w:val="0"/>
        </w:rPr>
        <w:t xml:space="preserve"> 37 semanas de trabajo académico con estudiantes + 2 semanas de refuerzo y profundización 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Calendario Académico Proyectado por Períodos (2027)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Período Académico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Semanas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Fecha de Inicio (Proyectada)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Fecha de Finalización (Proyectada)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 semanas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02 de febrero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 de abril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  <w:t xml:space="preserve"> semanas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13 de abril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11 de junio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  <w:t xml:space="preserve"> semanas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14 de junio (junio 22 - inician 13 de julio)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 de septiembre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  <w:t xml:space="preserve"> semanas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6 de septiembre (del 11 al 15 de octubre receso escolar)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12 de noviembre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Refuerzos y Recuperaciones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 semanas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16 de noviembre 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26 de noviembre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