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4"/>
          <w:szCs w:val="24"/>
        </w:rPr>
        <w:t xml:space="preserve">EICIT · Escuela Iberoamericana de Ciencias Técnicas</w:t>
      </w:r>
    </w:p>
    <w:p>
      <w:pPr>
        <w:spacing w:after="200"/>
      </w:pPr>
      <w:r>
        <w:rPr>
          <w:color w:val="2E75B6"/>
          <w:sz w:val="22"/>
          <w:szCs w:val="22"/>
        </w:rPr>
        <w:t xml:space="preserve">Acompañamiento técnico a la actualización del PEI — ENSMA</w:t>
      </w:r>
    </w:p>
    <w:p>
      <w:pPr>
        <w:pBdr>
          <w:bottom w:val="single" w:color="BF9000" w:sz="8" w:space="1"/>
        </w:pBdr>
        <w:spacing w:after="120"/>
      </w:pPr>
      <w:r>
        <w:t xml:space="preserve"/>
      </w:r>
    </w:p>
    <w:p>
      <w:pPr>
        <w:spacing w:after="40" w:before="100"/>
      </w:pPr>
      <w:r>
        <w:rPr>
          <w:b/>
          <w:bCs/>
          <w:color w:val="BF9000"/>
          <w:sz w:val="22"/>
          <w:szCs w:val="22"/>
        </w:rPr>
        <w:t xml:space="preserve">INSTRUMENTO DE TRABAJO</w:t>
      </w:r>
    </w:p>
    <w:p>
      <w:pPr>
        <w:spacing w:after="200"/>
      </w:pPr>
      <w:r>
        <w:rPr>
          <w:b/>
          <w:bCs/>
          <w:color w:val="1F4E79"/>
          <w:sz w:val="30"/>
          <w:szCs w:val="30"/>
        </w:rPr>
        <w:t xml:space="preserve">Instructivo y ficha estándar para la incorporación de los referentes de la Circular 0064 al PEI</w:t>
      </w:r>
    </w:p>
    <w:p>
      <w:pPr>
        <w:pBdr>
          <w:bottom w:val="single" w:color="BF9000" w:sz="8" w:space="1"/>
        </w:pBdr>
        <w:spacing w:after="120"/>
      </w:pPr>
      <w:r>
        <w:t xml:space="preserve"/>
      </w:r>
    </w:p>
    <w:tbl>
      <w:tblPr>
        <w:tblW w:type="dxa" w:w="99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BFBFBF" w:sz="3"/>
          <w:insideV w:val="single" w:color="BFBFBF" w:sz="3"/>
        </w:tblBorders>
      </w:tblPr>
      <w:tblGrid>
        <w:gridCol w:w="3100"/>
        <w:gridCol w:w="6872"/>
      </w:tblGrid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Colegio María Auxiliadora de Soacha (ENSMA)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Marco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Circular 0064 de 2026 (SEM) · Actualización del PEI 2026–2027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Dirigido 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Grupos de trabajo de la ENSMA responsables de incorporar los referentes al PEI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Estandarizar el diligenciamiento para que las contribuciones de todos los grupos sean homogéneas y se consoliden sin fricción en el ajuste del PEI.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 articula con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Semáforo de referentes (1.3.1/1.3.2) · Fichas de implicación para el PEI (1.3.4) · Plantilla-guía del SEM (áreas de gestión e ítems del PEI).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Elaboró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EICIT IA — asistencia técnica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Encuadre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EICIT propone y estandariza el instrumento; la ENSMA lo diligencia, delibera, decide y adopta.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Propósito del instrumento</w:t>
      </w:r>
    </w:p>
    <w:p>
      <w:pPr>
        <w:spacing w:after="120"/>
        <w:jc w:val="both"/>
      </w:pPr>
      <w:r>
        <w:t xml:space="preserve">La actualización del PEI exige incorporar un conjunto amplio de referentes normativos y lineamientos. Cuando varios grupos de trabajo realizan esa labor en paralelo, el riesgo no es la falta de aportes, sino su dispersión: miradas, formatos y niveles de detalle distintos que después resultan difíciles de integrar. Este instrumento reduce ese riesgo estandarizando una única forma de registrar cada incorporación.</w:t>
      </w:r>
    </w:p>
    <w:p>
      <w:pPr>
        <w:spacing w:after="120"/>
        <w:jc w:val="both"/>
      </w:pPr>
      <w:r>
        <w:t xml:space="preserve">No reemplaza el análisis ya realizado por EICIT. Lo operacionaliza: toma cada referente ya clasificado en el semáforo y ya analizado en las fichas de implicación, y ofrece a los grupos una ficha común para convertir ese análisis en un cambio concreto y ubicado dentro del PEI.</w:t>
      </w:r>
    </w:p>
    <w:p>
      <w:pPr>
        <w:pStyle w:val="Heading1"/>
      </w:pPr>
      <w:r>
        <w:t xml:space="preserve">2. Cómo funciona el flujo</w:t>
      </w:r>
    </w:p>
    <w:p>
      <w:pPr>
        <w:spacing w:after="120"/>
        <w:jc w:val="both"/>
      </w:pPr>
      <w:r>
        <w:t xml:space="preserve">El instrumento distingue lo que viene precargado de lo que diligencia el grupo, y define un cierre de consolidación: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Precarga (EICIT). </w:t>
      </w:r>
      <w:r>
        <w:t xml:space="preserve">EICIT entrega cada ficha con el encabezado precargado (referente, clasificación e implicación). El grupo no elige referentes ni reabre la clasificación.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Diligenciamiento (grupo ENSMA). </w:t>
      </w:r>
      <w:r>
        <w:t xml:space="preserve">El grupo completa los campos controlados y la redacción propuesta, siguiendo las reglas de la sección 3.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Consolidación (coordinación). </w:t>
      </w:r>
      <w:r>
        <w:t xml:space="preserve">La coordinación reúne las fichas por área e ítem y las integra al ajuste del PEI. Como todas comparten estructura y vocabulario, la integración es mecánica.</w:t>
      </w:r>
    </w:p>
    <w:p>
      <w:pPr>
        <w:pStyle w:val="Heading1"/>
      </w:pPr>
      <w:r>
        <w:t xml:space="preserve">3. Reglas de diligenciamiento</w:t>
      </w:r>
    </w:p>
    <w:p>
      <w:pPr>
        <w:spacing w:after="120"/>
        <w:jc w:val="both"/>
      </w:pPr>
      <w:r>
        <w:t xml:space="preserve">Estas siete reglas son la clave para evitar la divergencia. Se solicita a cada grupo respetarlas sin excepción.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Atomicidad. </w:t>
      </w:r>
      <w:r>
        <w:t xml:space="preserve">Una ficha por referente y por ítem del PEI. Si un referente afecta dos ítems, se diligencian dos fichas.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Clasificación cerrada. </w:t>
      </w:r>
      <w:r>
        <w:t xml:space="preserve">No se reabre la clasificación del semáforo ni se proponen referentes nuevos en la ficha. Cualquier observación sobre la clasificación se canaliza por separado con la coordinación.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Texto insertable. </w:t>
      </w:r>
      <w:r>
        <w:t xml:space="preserve">El campo «Redacción propuesta» contiene texto listo para insertar en el PEI, no comentarios ni opiniones. Las observaciones y los soportes van en «Justificación».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Vocabulario controlado. </w:t>
      </w:r>
      <w:r>
        <w:t xml:space="preserve">En los campos marcados como controlados solo se usan los valores de las listas de la sección 4. No se crean categorías nuevas.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Ubicación exacta. </w:t>
      </w:r>
      <w:r>
        <w:t xml:space="preserve">Se indica la ubicación exacta en el PEI vigente (sección y página) o se marca «Nuevo apartado».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Voz única. </w:t>
      </w:r>
      <w:r>
        <w:t xml:space="preserve">Una sola redacción por ficha. Si el grupo tiene dos versiones, elige una y registra la alternativa en «Justificación»; no deja ambas en el campo principal.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Economía de extensión. </w:t>
      </w:r>
      <w:r>
        <w:t xml:space="preserve">La redacción propuesta debe poder insertarse respetando el tope de 50 páginas del PEI fijado por el SEM. Los documentos extensos se enlazan como anexo, no se transcriben.</w:t>
      </w:r>
    </w:p>
    <w:p>
      <w:pPr>
        <w:pStyle w:val="Heading1"/>
      </w:pPr>
      <w:r>
        <w:t xml:space="preserve">4. Vocabularios controlados</w:t>
      </w:r>
    </w:p>
    <w:p>
      <w:pPr>
        <w:pStyle w:val="Heading2"/>
      </w:pPr>
      <w:r>
        <w:t xml:space="preserve">4.1 Área de gestión e ítem del PEI</w:t>
      </w:r>
    </w:p>
    <w:p>
      <w:pPr>
        <w:spacing w:after="120"/>
        <w:jc w:val="both"/>
      </w:pPr>
      <w:r>
        <w:t xml:space="preserve">El ítem debe corresponder al área. Las opciones provienen de la plantilla-guía del SEM.</w:t>
      </w:r>
    </w:p>
    <w:tbl>
      <w:tblPr>
        <w:tblW w:type="dxa" w:w="99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BFBFBF" w:sz="3"/>
          <w:insideV w:val="single" w:color="BFBFBF" w:sz="3"/>
        </w:tblBorders>
      </w:tblPr>
      <w:tblGrid>
        <w:gridCol w:w="3100"/>
        <w:gridCol w:w="6872"/>
      </w:tblGrid>
      <w:tr>
        <w:trPr>
          <w:tblHeader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Área de gestión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Ítems del PEI (valores admitidos)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Gestión Directiva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Identidad institucional · Caracterización institucional · Filosofía o fundamentos del PEI · Horizonte institucional · Políticas institucionales · Objetivos del PEI · Metas del PEI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Gestión Académica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Lineamientos de la propuesta pedagógica y curricular · Modelo y/o enfoque pedagógico · Planes de estudios · Proyectos pedagógicos transversales y cátedras · Sistema Institucional de Evaluación de Estudiantes (SIEE)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Gestión de la Comunidad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Gobierno escolar · Instancias de participación · Manual de convivencia · Procesos de articulación (convenios, programas, alianzas) · Servicio social (SSEO) · Alianza familia-escuela · Acogida a estudiantes nuevos · Seguimiento a egresados · Plan escolar de gestión del riesgo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Gestión Administrativa y Financiera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organizacional · Proceso de matrícula · Validación de grados · Actualización y capacitación · Recursos físicos, tecnológicos, humanos y financieros · Servicios adicionales y complementarios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Otras listas cerradas</w:t>
      </w:r>
    </w:p>
    <w:tbl>
      <w:tblPr>
        <w:tblW w:type="dxa" w:w="99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BFBFBF" w:sz="3"/>
          <w:insideV w:val="single" w:color="BFBFBF" w:sz="3"/>
        </w:tblBorders>
      </w:tblPr>
      <w:tblGrid>
        <w:gridCol w:w="3100"/>
        <w:gridCol w:w="6872"/>
      </w:tblGrid>
      <w:tr>
        <w:trPr>
          <w:tblHeader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Valores admitidos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Tipo de incorporación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Ajustar texto existente · Crear apartado nuevo · Incorporar referencia normativa · Enlazar documento anexo · Sin cambios (ya contemplado) · Remitir a otro ítem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Instancia de decisión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requiere · Consejo Académico · Consejo Directivo · Rectoría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Borrador · Revisado por el grupo · Avalado por coordinación</w:t>
            </w:r>
          </w:p>
        </w:tc>
      </w:tr>
    </w:tbl>
    <w:p>
      <w:pPr>
        <w:pStyle w:val="Heading1"/>
      </w:pPr>
      <w:r>
        <w:t xml:space="preserve">5. Criterios de estilo de la redacción propuesta</w:t>
      </w:r>
    </w:p>
    <w:p>
      <w:pPr>
        <w:spacing w:after="120"/>
        <w:jc w:val="both"/>
      </w:pPr>
      <w:r>
        <w:t xml:space="preserve">Para que las redacciones de todos los grupos suenen a un mismo documento, la «Redacción propuesta» se escribe con estos criterios: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Registro formal e impersonal, en tercera persona y en presente.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Coherencia terminológica con el PEI vigente y con el modelo pedagógico renovado.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Las siglas se definen la primera vez que aparecen.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Sin notas dirigidas a personas y sin primera persona; el texto debe leerse como parte del PEI.</w:t>
      </w:r>
    </w:p>
    <w:p>
      <w:r>
        <w:br w:type="page"/>
      </w:r>
    </w:p>
    <w:p>
      <w:pPr>
        <w:pStyle w:val="Heading1"/>
      </w:pPr>
      <w:r>
        <w:t xml:space="preserve">6. Ficha estándar (formato para diligenciar)</w:t>
      </w:r>
    </w:p>
    <w:p>
      <w:pPr>
        <w:spacing w:after="120"/>
        <w:jc w:val="both"/>
      </w:pPr>
      <w:r>
        <w:t xml:space="preserve">Se replica una ficha por cada referente y por cada ítem afectado. Las filas sombreadas vienen precargadas por EICIT y no se modifican; las filas en blanco las diligencia el grupo.</w:t>
      </w:r>
    </w:p>
    <w:tbl>
      <w:tblPr>
        <w:tblW w:type="dxa" w:w="99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BFBFBF" w:sz="3"/>
          <w:insideV w:val="single" w:color="BFBFBF" w:sz="3"/>
        </w:tblBorders>
      </w:tblPr>
      <w:tblGrid>
        <w:gridCol w:w="3100"/>
        <w:gridCol w:w="6872"/>
      </w:tblGrid>
      <w:tr>
        <w:trPr>
          <w:cantSplit/>
        </w:trPr>
        <w:tc>
          <w:tcPr>
            <w:tcW w:type="dxa" w:w="99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FICHA DE INCORPORACIÓN AL PEI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 de ficha (precargado)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p. ej. GCO-MC-004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Referente de la Circular (precargado)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Clasificación (precargado)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Obligatorio  /  Recomendado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Implicación identificada (precargado)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72"/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DILIGENCIA EL GRUPO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Área de gestión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(seleccione una de la lista 4.1)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Ítem del PEI afectado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(seleccione el ítem correspondiente al área)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Ubicación en el PEI vigente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(sección y página, o «Nuevo apartado»)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Tipo de incorporación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(seleccione uno de la lista 4.2)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Redacción propuesta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(texto listo para insertar en el PEI — regla 3.3)</w:t>
            </w:r>
          </w:p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Justificación breve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(por qué y con qué soporte; cita del referente. Máx. 3 líneas)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¿Requiere decisión de instancia?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(seleccione de la lista 4.2)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Grupo responsable y fecha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Borrador  /  Revisado por el grupo  /  Avalado por coordinación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Ficha modelo (ejemplo diligenciado)</w:t>
      </w:r>
    </w:p>
    <w:p>
      <w:pPr>
        <w:spacing w:after="120"/>
        <w:jc w:val="both"/>
      </w:pPr>
      <w:r>
        <w:t xml:space="preserve">Ejemplo de referencia para que todos los grupos repliquen el mismo nivel de detalle y de redacción.</w:t>
      </w:r>
    </w:p>
    <w:tbl>
      <w:tblPr>
        <w:tblW w:type="dxa" w:w="99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BFBFBF" w:sz="3"/>
          <w:insideV w:val="single" w:color="BFBFBF" w:sz="3"/>
        </w:tblBorders>
      </w:tblPr>
      <w:tblGrid>
        <w:gridCol w:w="3100"/>
        <w:gridCol w:w="6872"/>
      </w:tblGrid>
      <w:tr>
        <w:trPr>
          <w:cantSplit/>
        </w:trPr>
        <w:tc>
          <w:tcPr>
            <w:tcW w:type="dxa" w:w="99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FICHA DE INCORPORACIÓN AL PEI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 de ficha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GCO-MC-004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Referente de la Circular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Ley 2564 de 2026 — bienestar digital y prevención de la violencia en línea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Implicación identificada</w:t>
            </w:r>
          </w:p>
        </w:tc>
        <w:tc>
          <w:tcPr>
            <w:tcW w:type="dxa" w:w="6872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PEI debe incorporar el bienestar digital y la prevención de la violencia en línea en la convivencia escolar.</w:t>
            </w:r>
          </w:p>
        </w:tc>
      </w:tr>
      <w:tr>
        <w:trPr>
          <w:cantSplit/>
        </w:trPr>
        <w:tc>
          <w:tcPr>
            <w:tcW w:type="dxa" w:w="9972"/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DILIGENCIA EL GRUPO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Área de gestión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Gestión de la Comunidad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Ítem del PEI afectado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convivencia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Ubicación en el PEI vigente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Convivencia — nuevo apartado de convivencia digital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Tipo de incorporación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Crear apartado nuevo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Redacción propuesta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«La institución promueve el bienestar digital de la comunidad educativa y previene la violencia en línea. Con este fin incorpora, en el marco del Sistema Preventivo salesiano y de la Ley 2564 de 2026, medidas de prevención, acompañamiento y atención frente al ciberacoso y demás formas de agresión digital.»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Justificación breve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 Ley 2564 de 2026 obliga a incorporar el bienestar digital y la prevención de la violencia en línea. Se articula con la amabilidad preventiva del carisma.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¿Requiere decisión de instancia?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Consejo Directivo (aprueba el Manual de Convivencia)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Grupo responsable y fecha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Grupo de Gestión de la Comunidad — [fecha]</w:t>
            </w:r>
          </w:p>
        </w:tc>
      </w:tr>
      <w:tr>
        <w:trPr>
          <w:cantSplit/>
        </w:trPr>
        <w:tc>
          <w:tcPr>
            <w:tcW w:type="dxa" w:w="31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 w:lineRule="auto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Borrador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F9000" w:sz="8" w:space="1"/>
        </w:pBd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1F4E79"/>
        </w:rPr>
        <w:t xml:space="preserve">Consolidación. </w:t>
      </w:r>
      <w:r>
        <w:t xml:space="preserve">Este instrumento tiene un complemento natural: un libro de consolidación en Excel con las mismas listas controladas como validaciones desplegables y un resumen automático por área, ítem y estado, precargable con los referentes del semáforo. Con él, la reunión de fichas de todos los grupos se convierte en una sola tabla lista para el ajuste del PEI.</w:t>
      </w:r>
    </w:p>
    <w:p>
      <w:pPr>
        <w:spacing w:after="120"/>
        <w:jc w:val="both"/>
      </w:pPr>
      <w:r>
        <w:rPr>
          <w:b/>
          <w:bCs/>
          <w:color w:val="1F4E79"/>
        </w:rPr>
        <w:t xml:space="preserve">Encuadre de adopción. </w:t>
      </w:r>
      <w:r>
        <w:t xml:space="preserve">EICIT propone y estandariza el instrumento; la deliberación, la decisión y la adopción corresponden a la ENSMA, por la vía del Consejo Académico y del Consejo Directivo, y su formalización a la resolución rectoral.</w:t>
      </w:r>
    </w:p>
    <w:sectPr>
      <w:pgSz w:w="12240" w:h="1872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%1."/>
      <w:lvlJc w:val="left"/>
      <w:pPr>
        <w:ind w:left="460" w:hanging="4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260" w:line="300" w:lineRule="auto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y ficha estándar para la incorporación de referentes al PEI</dc:title>
  <dc:creator>EICIT IA — asistencia técnica</dc:creator>
  <dc:description>Instrumento de trabajo — ENSMA</dc:description>
  <cp:lastModifiedBy>EICIT IA — asistencia técnica</cp:lastModifiedBy>
  <cp:revision>1</cp:revision>
  <dcterms:created xsi:type="dcterms:W3CDTF">2026-09-07T13:21:56Z</dcterms:created>
  <dcterms:modified xsi:type="dcterms:W3CDTF">2026-09-07T13:21:56Z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