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EICIT · Acompañamiento a la actualización del PEI — ENSMA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FICHA DE IMPLICACIONES PARA EL PEI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2E75B6"/>
          <w:sz w:val="18"/>
          <w:szCs w:val="18"/>
        </w:rPr>
        <w:t xml:space="preserve">Tarea 1.3.4 · Referente normativo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4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Ficha N.º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F-1.3.4-010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9000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Referente</w:t>
            </w:r>
          </w:p>
        </w:tc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Ley 2491 de 2025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/ expedidor</w:t>
            </w:r>
          </w:p>
        </w:tc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Ley · Congreso de la República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23 de julio de 2025 (rige desde su promulgación)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Objeto</w:t>
            </w:r>
          </w:p>
        </w:tc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Incorpora a los Proyectos Educativos Institucionales el componente de competencias socioemocionales y dicta otras disposiciones.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Ámbito</w:t>
            </w:r>
          </w:p>
        </w:tc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Instituciones educativas formales, públicas y privadas, de primaria, básica y media (Art. 9). Aplica a la ENSMA.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Clúster</w:t>
            </w:r>
          </w:p>
        </w:tc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Socioemocional / salud mental — norma keystone del clúster.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Vigencia</w:t>
            </w:r>
          </w:p>
        </w:tc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Vigente. Reglamentación del MEN prevista a 6 meses de la promulgación (Art. 8) — verificar si ya se expidió.</w:t>
            </w:r>
          </w:p>
        </w:tc>
      </w:tr>
    </w:tbl>
    <w:p>
      <w:pPr>
        <w:pBdr>
          <w:bottom w:val="single" w:color="BF9000" w:sz="6"/>
        </w:pBdr>
        <w:spacing w:after="9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 Qué exige el referente</w:t>
      </w:r>
    </w:p>
    <w:p>
      <w:pPr>
        <w:spacing w:after="70" w:before="0" w:line="264"/>
        <w:jc w:val="both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Art. 1.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Incorporar el componente socioemocional al PEI, de forma transversal en el currículo y las actividades escolares, con enfoque diferencial para NNA.</w:t>
      </w:r>
    </w:p>
    <w:p>
      <w:pPr>
        <w:spacing w:after="70" w:before="0" w:line="264"/>
        <w:jc w:val="both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Art. 2.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Garantizar el derecho a una educación integral con competencias socioemocionales, con implementación gradual en todos los niveles y en colaboración con las familias.</w:t>
      </w:r>
    </w:p>
    <w:p>
      <w:pPr>
        <w:spacing w:after="70" w:before="0" w:line="264"/>
        <w:jc w:val="both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Art. 4 y 6.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Incorporar la educación emocional en las estrategias de formación docente y dotar de herramientas para aplicarla en el aula.</w:t>
      </w:r>
    </w:p>
    <w:p>
      <w:pPr>
        <w:spacing w:after="70" w:before="0" w:line="264"/>
        <w:jc w:val="both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Art. 7.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Establecer rutas de atención y protección: caracterizar necesidades socioemocionales y de salud mental, derivar a redes de apoyo y contar con planes de seguimiento.</w:t>
      </w:r>
    </w:p>
    <w:p>
      <w:pPr>
        <w:spacing w:after="70" w:before="0" w:line="264"/>
        <w:jc w:val="both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Art. 5.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Evaluar periódicamente las competencias socioemocionales e integrarlas a la autoevaluación institucional.</w:t>
      </w:r>
    </w:p>
    <w:p>
      <w:pPr>
        <w:pBdr>
          <w:bottom w:val="single" w:color="BF9000" w:sz="6"/>
        </w:pBdr>
        <w:spacing w:after="9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2. A qué componentes del PEI afecta</w:t>
      </w:r>
    </w:p>
    <w:p>
      <w:pPr>
        <w:spacing w:after="100" w:before="0" w:line="264"/>
        <w:jc w:val="both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Horizonte institucional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(perfil del estudiante) ·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Modelo pedagógico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(enfoque socioemocional transversal) ·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Plan de estudios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(transversalización + cátedra de educación emocional, Ley 2503) ·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SIEE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(evaluación y caracterización) ·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Manual de Convivencia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(rutas de atención y prevención) ·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Gestión de la comunidad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(familias, orientación, salud mental) ·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Transverso de calidad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(la autoevaluación integra lo socioemocional, Art. 5).</w:t>
      </w:r>
    </w:p>
    <w:p>
      <w:pPr>
        <w:pBdr>
          <w:bottom w:val="single" w:color="BF9000" w:sz="6"/>
        </w:pBdr>
        <w:spacing w:after="9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 Acciones requeridas para el PEI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300"/>
        <w:gridCol w:w="2100"/>
        <w:gridCol w:w="1000"/>
      </w:tblGrid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Acción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Responsable (ENSMA)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Evidencia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Plazo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Crear el componente socioemocional del PEI (transversal).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Consejo Académico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Capítulo del PEI aprobado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Corto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Definirlo en el modelo pedagógico y el perfil del estudiante.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Consejo Académico (EICIT propone)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Modelo validado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F3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Transversalizar en el plan de estudios y articular la cátedra de educación emocional (Ley 2503).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Jefes de área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Mallas con el componente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F4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Integrar la evaluación de competencias socioemocionales al SIEE y a la autoevaluación institucional.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Coordinación Académica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SIEE ajustado · autoevaluación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Establecer rutas de caracterización, atención y seguimiento en salud mental.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Orientación Escolar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Protocolo / ruta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Medio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Incluir la educación emocional en el plan de formación docente.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Rectoría / Coordinación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Plan de formación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Continuo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Articular con las familias (Decreto 459 · Alianza Familia-Escuela).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Gestión de Comunidad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Escuela de Padres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Continuo</w:t>
            </w:r>
          </w:p>
        </w:tc>
      </w:tr>
    </w:tbl>
    <w:p>
      <w:pPr>
        <w:pBdr>
          <w:bottom w:val="single" w:color="BF9000" w:sz="6"/>
        </w:pBdr>
        <w:spacing w:after="9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 Articulación con otros referentes</w:t>
      </w:r>
    </w:p>
    <w:p>
      <w:pPr>
        <w:spacing w:after="100" w:before="0" w:line="264"/>
        <w:jc w:val="both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No se responde de forma aislada.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Esta ley es la llave del clúster socioemocional e integra: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Ley 2383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(educación socioemocional),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Ley 2414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(habilidades sociales y emocionales),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Ley 2503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(cátedra de educación emocional),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Ley 2460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Ley 2564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(salud mental), más los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Lineamientos de Formación Ciudadana y Desarrollo Socioemocional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y la orientación de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desarrollo socioemocional en educación inicial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. Se recomienda una respuesta única e integrada, no una acción por norma.</w:t>
      </w:r>
    </w:p>
    <w:p>
      <w:pPr>
        <w:pBdr>
          <w:bottom w:val="single" w:color="BF9000" w:sz="6"/>
        </w:pBdr>
        <w:spacing w:after="9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 Prioridad y notas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9000" w:color="auto" w:val="clear"/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Norma keystone: es la única que ordena expresamente incorporar un componente al PEI y articula el clúster de mayor peso.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Cautelas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Avanzar en el marco de la autonomía institucional (Art. 9); ajustar cuando el MEN expida la reglamentación (Art. 8). Verificar su existencia a la fecha.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EICIT propone y acompaña; la deliberación, decisión y adopción corresponden a la ENSMA.</w:t>
      </w:r>
    </w:p>
    <w:sectPr>
      <w:headerReference w:type="default" r:id="rId7"/>
      <w:footerReference w:type="default" r:id="rId8"/>
      <w:pgSz w:w="12240" w:h="1872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EICIT · Ficha de implicaciones para el PEI · ENSMA · Página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Ficha 1.3.4 · Ley 2491 de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implicaciones PEI — Ley 2491 de 2025</dc:title>
  <dc:creator>EICIT IA</dc:creator>
  <cp:lastModifiedBy>Un-named</cp:lastModifiedBy>
  <cp:revision>1</cp:revision>
  <dcterms:created xsi:type="dcterms:W3CDTF">2026-08-30T23:10:25Z</dcterms:created>
  <dcterms:modified xsi:type="dcterms:W3CDTF">2026-08-30T23:10:25Z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