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4BEF6" w14:textId="77777777" w:rsidR="00DB2A99" w:rsidRDefault="00000000">
      <w:pPr>
        <w:spacing w:after="20"/>
        <w:jc w:val="center"/>
      </w:pPr>
      <w:r>
        <w:rPr>
          <w:rFonts w:ascii="Calibri" w:eastAsia="Calibri" w:hAnsi="Calibri" w:cs="Calibri"/>
          <w:color w:val="595959"/>
          <w:sz w:val="16"/>
          <w:szCs w:val="16"/>
        </w:rPr>
        <w:t>EICIT · Acompañamiento a la actualización del PEI — ENSMA</w:t>
      </w:r>
    </w:p>
    <w:p w14:paraId="408EBFE7" w14:textId="77777777" w:rsidR="00DB2A9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Estructura del Modelo Pedagógico</w:t>
      </w:r>
    </w:p>
    <w:p w14:paraId="3F64E745" w14:textId="77777777" w:rsidR="00DB2A99" w:rsidRDefault="00000000">
      <w:pPr>
        <w:spacing w:after="60"/>
        <w:jc w:val="center"/>
      </w:pPr>
      <w:r>
        <w:rPr>
          <w:rFonts w:ascii="Calibri" w:eastAsia="Calibri" w:hAnsi="Calibri" w:cs="Calibri"/>
          <w:color w:val="2E75B6"/>
          <w:sz w:val="22"/>
          <w:szCs w:val="22"/>
        </w:rPr>
        <w:t>Escuela Normal Superior María Auxiliadora de Soacha (ENSMA)</w:t>
      </w:r>
    </w:p>
    <w:p w14:paraId="1D09208E" w14:textId="77777777" w:rsidR="00DB2A99" w:rsidRDefault="00000000">
      <w:pPr>
        <w:spacing w:after="18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Fase 3 · Tarea 1.4.1 — Propuesta de estructura para deliberación</w:t>
      </w:r>
    </w:p>
    <w:p w14:paraId="02329CF0" w14:textId="3B759A5F" w:rsidR="00DB2A99" w:rsidRDefault="00000000">
      <w:pPr>
        <w:spacing w:after="100" w:line="276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Nota de método. Sistema Preventivo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y el Proyecto Educativo-Pastoral Salesiano (PEPS) —tomando como referencia el PEPS </w:t>
      </w:r>
      <w:r w:rsidR="000309E0">
        <w:rPr>
          <w:rFonts w:ascii="Calibri" w:eastAsia="Calibri" w:hAnsi="Calibri" w:cs="Calibri"/>
          <w:color w:val="000000"/>
          <w:sz w:val="22"/>
          <w:szCs w:val="22"/>
        </w:rPr>
        <w:t>de la Inspectoría Salesiana San Pedro Claver</w:t>
      </w:r>
      <w:r>
        <w:rPr>
          <w:rFonts w:ascii="Calibri" w:eastAsia="Calibri" w:hAnsi="Calibri" w:cs="Calibri"/>
          <w:color w:val="000000"/>
          <w:sz w:val="22"/>
          <w:szCs w:val="22"/>
        </w:rPr>
        <w:t>, el modelo pedagógico vigente del Colegio María Auxiliadora, los referentes del MEN y el eje de innovación y tecnología del proyecto. No sustituye lo pastoral: lo asume como horizonte y le articula la dimensión pedagógica e innovadora.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DB2A99" w14:paraId="4AF2AEFC" w14:textId="77777777">
        <w:tc>
          <w:tcPr>
            <w:tcW w:w="0" w:type="auto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</w:tcPr>
          <w:p w14:paraId="6ABB6340" w14:textId="77777777" w:rsidR="00DB2A99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Principio integrador: los «Nuevos Patios»</w:t>
            </w:r>
          </w:p>
          <w:p w14:paraId="31DB73B5" w14:textId="77777777" w:rsidR="00DB2A99" w:rsidRDefault="00000000">
            <w:pPr>
              <w:spacing w:after="80" w:line="264" w:lineRule="auto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El PEPS del León XIII ya nombra lo digital como «Nuevos Patios». En Don Bosco, el patio es el lugar del encuentro y de la presencia del educador entre los jóvenes (la «asistencia»). Hoy los jóvenes habitan también el patio digital. Por eso la innovación y la tecnología no compiten con el carisma: son el Sistema Preventivo aplicado al lugar donde los jóvenes ahora viven. Este principio recorre todo el modelo y hace que la innovación sea una expresión contemporánea de la identidad salesiana, no un añadido.</w:t>
            </w:r>
          </w:p>
        </w:tc>
      </w:tr>
    </w:tbl>
    <w:p w14:paraId="69335279" w14:textId="77777777" w:rsidR="00D87FE6" w:rsidRDefault="00D87FE6" w:rsidP="00D87FE6">
      <w:pPr>
        <w:pBdr>
          <w:bottom w:val="single" w:sz="6" w:space="0" w:color="BF9000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Estructura propuesta</w:t>
      </w:r>
    </w:p>
    <w:p w14:paraId="70EFE916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Introducción general</w:t>
      </w:r>
    </w:p>
    <w:p w14:paraId="09A8B487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2.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Fundamentos del modelo pedagógico</w:t>
      </w:r>
    </w:p>
    <w:p w14:paraId="28225405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3.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Política pedagógica institucional</w:t>
      </w:r>
    </w:p>
    <w:p w14:paraId="47FE0767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4.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Enfoque pedagógico</w:t>
      </w:r>
    </w:p>
    <w:p w14:paraId="776ECE1C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5.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Propósitos formativos del modelo</w:t>
      </w:r>
    </w:p>
    <w:p w14:paraId="70E60440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6.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Dimensiones formativas</w:t>
      </w:r>
    </w:p>
    <w:p w14:paraId="76358956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7.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Ambientes y escenarios de aprendizaje</w:t>
      </w:r>
    </w:p>
    <w:p w14:paraId="7EE295EF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8.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Ejes operativos y transversales</w:t>
      </w:r>
    </w:p>
    <w:p w14:paraId="559EEF07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9.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Estrategias didácticas institucionales</w:t>
      </w:r>
    </w:p>
    <w:p w14:paraId="4D44CD76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10.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Orientaciones para la planeación didáctica</w:t>
      </w:r>
    </w:p>
    <w:p w14:paraId="638B139D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11.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Rol del docente</w:t>
      </w:r>
    </w:p>
    <w:p w14:paraId="697C4F84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12.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Rol del estudiante</w:t>
      </w:r>
    </w:p>
    <w:p w14:paraId="610360DB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13.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La evaluación del aprendizaje</w:t>
      </w:r>
    </w:p>
    <w:p w14:paraId="59A78C98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14.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La investigación formativa</w:t>
      </w:r>
    </w:p>
    <w:p w14:paraId="0BC997A9" w14:textId="77777777" w:rsidR="00D87FE6" w:rsidRDefault="00D87FE6" w:rsidP="00D87FE6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15.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Articulación y seguimiento</w:t>
      </w:r>
    </w:p>
    <w:p w14:paraId="385D2A7A" w14:textId="77777777" w:rsidR="00D87FE6" w:rsidRDefault="00D87FE6">
      <w:pPr>
        <w:pBdr>
          <w:bottom w:val="single" w:sz="6" w:space="0" w:color="BF9000"/>
        </w:pBdr>
        <w:spacing w:before="240" w:after="120"/>
        <w:rPr>
          <w:rFonts w:ascii="Calibri" w:eastAsia="Calibri" w:hAnsi="Calibri" w:cs="Calibri"/>
          <w:b/>
          <w:bCs/>
          <w:color w:val="1F4E79"/>
          <w:sz w:val="26"/>
          <w:szCs w:val="26"/>
        </w:rPr>
        <w:sectPr w:rsidR="00D87FE6">
          <w:headerReference w:type="default" r:id="rId7"/>
          <w:footerReference w:type="default" r:id="rId8"/>
          <w:pgSz w:w="12240" w:h="18720"/>
          <w:pgMar w:top="1134" w:right="1134" w:bottom="1134" w:left="1134" w:header="708" w:footer="708" w:gutter="0"/>
          <w:cols w:space="720"/>
          <w:docGrid w:linePitch="360"/>
        </w:sectPr>
      </w:pPr>
    </w:p>
    <w:p w14:paraId="5B2FD748" w14:textId="45C473A0" w:rsidR="00DB2A99" w:rsidRDefault="00000000">
      <w:pPr>
        <w:pBdr>
          <w:bottom w:val="single" w:sz="6" w:space="0" w:color="BF9000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Estructura propuesta</w:t>
      </w:r>
    </w:p>
    <w:p w14:paraId="5562C7E9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Introducción general</w:t>
      </w:r>
    </w:p>
    <w:p w14:paraId="499C1EEB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Sentido del modelo, su relación con el PEI que incorpora el PEPS, y su función como concreción del horizonte institucional en la vida del aula.</w:t>
      </w:r>
    </w:p>
    <w:p w14:paraId="055AFF15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2.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Fundamentos del modelo pedagógico</w:t>
      </w:r>
    </w:p>
    <w:p w14:paraId="0EF876B7" w14:textId="77777777" w:rsidR="00DB2A99" w:rsidRDefault="00000000">
      <w:pPr>
        <w:spacing w:after="4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Fundamentos antropológico (la concepción salesiana de persona: el joven como centro, «buen cristiano y honesto ciudadano», desarrollo integral), epistemológico, psicopedagógico y sociológico (realidad juvenil y contexto de Soacha), y pastoral y ético (Sistema Preventivo: razón, religión y amabilidad; espiritualidad salesiana).</w:t>
      </w:r>
    </w:p>
    <w:p w14:paraId="6CEEF2CA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2E75B6"/>
        </w:rPr>
        <w:t xml:space="preserve">Integración pastoral ↔ innovación. </w:t>
      </w:r>
      <w:r>
        <w:rPr>
          <w:rFonts w:ascii="Calibri" w:eastAsia="Calibri" w:hAnsi="Calibri" w:cs="Calibri"/>
          <w:i/>
          <w:iCs/>
          <w:color w:val="333333"/>
        </w:rPr>
        <w:t>Se añade el fundamento antropológico y se explicita el pastoral-ético como base, no como apéndice.</w:t>
      </w:r>
    </w:p>
    <w:p w14:paraId="25E524F2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3.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Política pedagógica institucional</w:t>
      </w:r>
    </w:p>
    <w:p w14:paraId="62C7319A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Principios rectores y los lineamientos ya definidos por la institución: competencias para la vida, convivencia y formación en valores, y cuidado de la casa común; se incorpora el compromiso institucional con la innovación.</w:t>
      </w:r>
    </w:p>
    <w:p w14:paraId="0EC6CB0C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4.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Enfoque pedagógico</w:t>
      </w:r>
    </w:p>
    <w:p w14:paraId="7B6846A0" w14:textId="77777777" w:rsidR="00DB2A99" w:rsidRDefault="00000000">
      <w:pPr>
        <w:spacing w:after="4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El Sistema Preventivo como enfoque integrador que sostiene y da sentido a las corrientes que lo operan: constructivismo, pedagogía crítica, socioformación y escuela activa. Dentro de este marco, la innovación y el aprendizaje activo digital: los «Nuevos Patios».</w:t>
      </w:r>
    </w:p>
    <w:p w14:paraId="6A6A5BF6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2E75B6"/>
        </w:rPr>
        <w:t xml:space="preserve">Integración pastoral ↔ innovación. </w:t>
      </w:r>
      <w:r>
        <w:rPr>
          <w:rFonts w:ascii="Calibri" w:eastAsia="Calibri" w:hAnsi="Calibri" w:cs="Calibri"/>
          <w:i/>
          <w:iCs/>
          <w:color w:val="333333"/>
        </w:rPr>
        <w:t>Lo pastoral es el marco; las corrientes pedagógicas son el método; la innovación se hace visible aquí, articulada y no diluida.</w:t>
      </w:r>
    </w:p>
    <w:p w14:paraId="0D56E5AE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5.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Propósitos formativos del modelo</w:t>
      </w:r>
    </w:p>
    <w:p w14:paraId="59B5FA9C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Los aprendizajes y las capacidades que el modelo se propone formar, en coherencia con el perfil del estudiante y la fórmula «buen cristiano y honesto ciudadano».</w:t>
      </w:r>
    </w:p>
    <w:p w14:paraId="355C0791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6.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Dimensiones formativas</w:t>
      </w:r>
    </w:p>
    <w:p w14:paraId="269B17CD" w14:textId="77777777" w:rsidR="00DB2A99" w:rsidRDefault="00000000">
      <w:pPr>
        <w:spacing w:after="4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Las cuatro dimensiones del aprendizaje integral —conocer/saber, hacer, ser (incluida la dimensión espiritual y trascendente) y convivir— articuladas con las dimensiones salesianas de la formación integral: intelectual-científica, comunicativa-digital, corporal-lúdica-estética, sociopolítica-ciudadana y espiritual-evangelizadora.</w:t>
      </w:r>
    </w:p>
    <w:p w14:paraId="26ECC9F3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2E75B6"/>
        </w:rPr>
        <w:t xml:space="preserve">Integración pastoral ↔ innovación. </w:t>
      </w:r>
      <w:r>
        <w:rPr>
          <w:rFonts w:ascii="Calibri" w:eastAsia="Calibri" w:hAnsi="Calibri" w:cs="Calibri"/>
          <w:i/>
          <w:iCs/>
          <w:color w:val="333333"/>
        </w:rPr>
        <w:t>Se recupera el «conocer/saber» (cuarto pilar de Delors) y se hace explícita la dimensión espiritual, que no debe disolverse en el «ser».</w:t>
      </w:r>
    </w:p>
    <w:p w14:paraId="650C24C6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7.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Ambientes y escenarios de aprendizaje</w:t>
      </w:r>
    </w:p>
    <w:p w14:paraId="1DEBB44C" w14:textId="77777777" w:rsidR="00DB2A99" w:rsidRDefault="00000000">
      <w:pPr>
        <w:spacing w:after="4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El aula, el patio y la capilla como escenarios complementarios del aprendizaje salesiano, y el «nuevo patio» digital como escenario contemporáneo de encuentro, presencia y aprendizaje.</w:t>
      </w:r>
    </w:p>
    <w:p w14:paraId="76707E74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2E75B6"/>
        </w:rPr>
        <w:t xml:space="preserve">Integración pastoral ↔ innovación. </w:t>
      </w:r>
      <w:r>
        <w:rPr>
          <w:rFonts w:ascii="Calibri" w:eastAsia="Calibri" w:hAnsi="Calibri" w:cs="Calibri"/>
          <w:i/>
          <w:iCs/>
          <w:color w:val="333333"/>
        </w:rPr>
        <w:t>Sección nueva: es el lugar natural donde la innovación entra en clave salesiana.</w:t>
      </w:r>
    </w:p>
    <w:p w14:paraId="54B026D8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8.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Ejes operativos y transversales</w:t>
      </w:r>
    </w:p>
    <w:p w14:paraId="04CF0C4E" w14:textId="77777777" w:rsidR="00DB2A99" w:rsidRDefault="00000000">
      <w:pPr>
        <w:spacing w:after="4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Los ejes que atraviesan todos los niveles: educación socioemocional, ciudadanía y bienestar digital, cultura del cuidado, educación ambiental, inclusión, pensamiento crítico y proyecto de vida.</w:t>
      </w:r>
    </w:p>
    <w:p w14:paraId="1617CC07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2E75B6"/>
        </w:rPr>
        <w:t xml:space="preserve">Integración pastoral ↔ innovación. </w:t>
      </w:r>
      <w:r>
        <w:rPr>
          <w:rFonts w:ascii="Calibri" w:eastAsia="Calibri" w:hAnsi="Calibri" w:cs="Calibri"/>
          <w:i/>
          <w:iCs/>
          <w:color w:val="333333"/>
        </w:rPr>
        <w:t>Anclados en los referentes ya clasificados (clúster socioemocional, leyes 2489/2564 de entornos digitales).</w:t>
      </w:r>
    </w:p>
    <w:p w14:paraId="29FAEB28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9.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Estrategias didácticas institucionales</w:t>
      </w:r>
    </w:p>
    <w:p w14:paraId="1A1C235E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Aprendizaje basado en proyectos e interdisciplinariedad, investigación y exploración, resolución de problemas, trabajo colaborativo, arte y juego, y mediación pedagógica con tecnología e IA.</w:t>
      </w:r>
    </w:p>
    <w:p w14:paraId="44858BB7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10.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Orientaciones para la planeación didáctica</w:t>
      </w:r>
    </w:p>
    <w:p w14:paraId="524DB8A8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La ruta pedagógica con sus momentos secuenciales para la construcción significativa del aprendizaje (momento, propósito, acciones), como guía común de la planeación.</w:t>
      </w:r>
    </w:p>
    <w:p w14:paraId="0AB1E252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11.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Rol del docente</w:t>
      </w:r>
    </w:p>
    <w:p w14:paraId="65441CBC" w14:textId="77777777" w:rsidR="00DB2A99" w:rsidRDefault="00000000">
      <w:pPr>
        <w:spacing w:after="4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El docente como mediador, orientador, diseñador de experiencias, acompañante e investigador de su práctica; la «asistencia salesiana» ejercida también en el patio digital.</w:t>
      </w:r>
    </w:p>
    <w:p w14:paraId="010F33F0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2E75B6"/>
        </w:rPr>
        <w:t xml:space="preserve">Integración pastoral ↔ innovación. </w:t>
      </w:r>
      <w:r>
        <w:rPr>
          <w:rFonts w:ascii="Calibri" w:eastAsia="Calibri" w:hAnsi="Calibri" w:cs="Calibri"/>
          <w:i/>
          <w:iCs/>
          <w:color w:val="333333"/>
        </w:rPr>
        <w:t>La presencia salesiana se extiende al entorno digital: acompañar, no solo vigilar.</w:t>
      </w:r>
    </w:p>
    <w:p w14:paraId="3F483749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12.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Rol del estudiante</w:t>
      </w:r>
    </w:p>
    <w:p w14:paraId="507DAEBB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Contiene. </w:t>
      </w:r>
      <w:r>
        <w:rPr>
          <w:rFonts w:ascii="Calibri" w:eastAsia="Calibri" w:hAnsi="Calibri" w:cs="Calibri"/>
          <w:color w:val="000000"/>
        </w:rPr>
        <w:t>El estudiante como protagonista activo que pregunta, explora, investiga, crea, coopera y reflexiona, y construye su proyecto de vida.</w:t>
      </w:r>
    </w:p>
    <w:p w14:paraId="00A51E9E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13.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La evaluación del aprendizaje</w:t>
      </w:r>
    </w:p>
    <w:p w14:paraId="59944F57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Evaluación formativa y preventiva, articulada con el SIEE (Decreto 1290) y con la identidad salesiana (mirada positiva, retroalimentación, reconocimiento del progreso); incluye la valoración de las competencias digitales.</w:t>
      </w:r>
    </w:p>
    <w:p w14:paraId="29B4A270" w14:textId="08190E24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14.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La investigación formativa</w:t>
      </w:r>
      <w:r w:rsidR="000F2BFA">
        <w:rPr>
          <w:rFonts w:ascii="Calibri" w:eastAsia="Calibri" w:hAnsi="Calibri" w:cs="Calibri"/>
          <w:b/>
          <w:bCs/>
          <w:color w:val="1F4E79"/>
          <w:sz w:val="23"/>
          <w:szCs w:val="23"/>
        </w:rPr>
        <w:t xml:space="preserve"> y buenas prácticas</w:t>
      </w:r>
    </w:p>
    <w:p w14:paraId="11C85BDC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La investigación como cultura institucional —herencia de la tradición normalista— : semilleros, el aula como espacio de indagación y el docente investigador de su práctica.</w:t>
      </w:r>
    </w:p>
    <w:p w14:paraId="4E78D11A" w14:textId="77777777" w:rsidR="00DB2A99" w:rsidRDefault="00000000">
      <w:pPr>
        <w:spacing w:before="170" w:after="40"/>
      </w:pPr>
      <w:r>
        <w:rPr>
          <w:rFonts w:ascii="Calibri" w:eastAsia="Calibri" w:hAnsi="Calibri" w:cs="Calibri"/>
          <w:b/>
          <w:bCs/>
          <w:color w:val="BF9000"/>
          <w:sz w:val="23"/>
          <w:szCs w:val="23"/>
        </w:rPr>
        <w:t xml:space="preserve">15.  </w:t>
      </w:r>
      <w:r>
        <w:rPr>
          <w:rFonts w:ascii="Calibri" w:eastAsia="Calibri" w:hAnsi="Calibri" w:cs="Calibri"/>
          <w:b/>
          <w:bCs/>
          <w:color w:val="1F4E79"/>
          <w:sz w:val="23"/>
          <w:szCs w:val="23"/>
        </w:rPr>
        <w:t>Articulación y seguimiento</w:t>
      </w:r>
    </w:p>
    <w:p w14:paraId="0BFAA58B" w14:textId="77777777" w:rsidR="00DB2A99" w:rsidRDefault="00000000">
      <w:pPr>
        <w:spacing w:after="110" w:line="264" w:lineRule="auto"/>
        <w:jc w:val="both"/>
      </w:pPr>
      <w:r>
        <w:rPr>
          <w:rFonts w:ascii="Calibri" w:eastAsia="Calibri" w:hAnsi="Calibri" w:cs="Calibri"/>
          <w:b/>
          <w:bCs/>
          <w:color w:val="000000"/>
        </w:rPr>
        <w:t xml:space="preserve">Contiene. </w:t>
      </w:r>
      <w:r>
        <w:rPr>
          <w:rFonts w:ascii="Calibri" w:eastAsia="Calibri" w:hAnsi="Calibri" w:cs="Calibri"/>
          <w:color w:val="000000"/>
        </w:rPr>
        <w:t>Cómo el modelo aterriza en las mallas (Fase 4), se integra al PEI y se acompaña desde el transverso de calidad, con indicadores que incluyen la competencia digital docente (línea base 1.2.5).</w:t>
      </w:r>
    </w:p>
    <w:p w14:paraId="29AD89D5" w14:textId="77777777" w:rsidR="00DB2A99" w:rsidRDefault="00DB2A99">
      <w:pPr>
        <w:pBdr>
          <w:top w:val="single" w:sz="6" w:space="0" w:color="BF9000"/>
        </w:pBdr>
        <w:spacing w:before="180"/>
      </w:pPr>
    </w:p>
    <w:p w14:paraId="018D7D09" w14:textId="77777777" w:rsidR="00DB2A99" w:rsidRDefault="00000000">
      <w:pPr>
        <w:spacing w:after="100" w:line="276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Encuadre.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Esta es una propuesta de estructura de EICIT para consideración de la ENSMA. El modelo pedagógico se valida en la Fase 3 y opera como candado: ninguna malla curricular se diseña sin el modelo validado. La deliberación y adopción corresponden a la ENSMA (Consejo Académico → Consejo Directivo).</w:t>
      </w:r>
    </w:p>
    <w:sectPr w:rsidR="00DB2A99">
      <w:pgSz w:w="12240" w:h="1872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5EFBBD" w14:textId="77777777" w:rsidR="00044EFB" w:rsidRDefault="00044EFB">
      <w:r>
        <w:separator/>
      </w:r>
    </w:p>
  </w:endnote>
  <w:endnote w:type="continuationSeparator" w:id="0">
    <w:p w14:paraId="6076F217" w14:textId="77777777" w:rsidR="00044EFB" w:rsidRDefault="00044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k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2A58A2" w14:textId="77777777" w:rsidR="00DB2A99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Fase 3 · Tarea 1.4.1 · EICIT IA · Uso institucional · Página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0309E0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22BEC1" w14:textId="77777777" w:rsidR="00044EFB" w:rsidRDefault="00044EFB">
      <w:r>
        <w:separator/>
      </w:r>
    </w:p>
  </w:footnote>
  <w:footnote w:type="continuationSeparator" w:id="0">
    <w:p w14:paraId="01F8F18E" w14:textId="77777777" w:rsidR="00044EFB" w:rsidRDefault="00044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89313D" w14:textId="4EDECC3C" w:rsidR="00DB2A99" w:rsidRDefault="005F44AF">
    <w:pPr>
      <w:jc w:val="right"/>
    </w:pPr>
    <w:r w:rsidRPr="00FD5F6D">
      <w:rPr>
        <w:rFonts w:ascii="Roboto Bk" w:hAnsi="Roboto Bk"/>
        <w:b/>
        <w:bCs/>
        <w:noProof/>
        <w:sz w:val="44"/>
        <w:szCs w:val="40"/>
      </w:rPr>
      <w:drawing>
        <wp:anchor distT="0" distB="0" distL="114300" distR="114300" simplePos="0" relativeHeight="251659264" behindDoc="0" locked="0" layoutInCell="1" allowOverlap="1" wp14:anchorId="544DFFEC" wp14:editId="6139C92B">
          <wp:simplePos x="0" y="0"/>
          <wp:positionH relativeFrom="column">
            <wp:posOffset>0</wp:posOffset>
          </wp:positionH>
          <wp:positionV relativeFrom="paragraph">
            <wp:posOffset>-140594</wp:posOffset>
          </wp:positionV>
          <wp:extent cx="1256323" cy="482600"/>
          <wp:effectExtent l="0" t="0" r="1270" b="0"/>
          <wp:wrapNone/>
          <wp:docPr id="833578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364124" name="Imagen 15236412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6323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Calibri" w:eastAsia="Calibri" w:hAnsi="Calibri" w:cs="Calibri"/>
        <w:color w:val="595959"/>
        <w:sz w:val="16"/>
        <w:szCs w:val="16"/>
      </w:rPr>
      <w:t>EICIT · Estructura del Modelo Pedagógico — ENSMA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FA6924"/>
    <w:multiLevelType w:val="hybridMultilevel"/>
    <w:tmpl w:val="A1D2620C"/>
    <w:lvl w:ilvl="0" w:tplc="BD46CAB8">
      <w:start w:val="1"/>
      <w:numFmt w:val="bullet"/>
      <w:lvlText w:val="●"/>
      <w:lvlJc w:val="left"/>
      <w:pPr>
        <w:ind w:left="720" w:hanging="360"/>
      </w:pPr>
    </w:lvl>
    <w:lvl w:ilvl="1" w:tplc="ADA41E2E">
      <w:start w:val="1"/>
      <w:numFmt w:val="bullet"/>
      <w:lvlText w:val="○"/>
      <w:lvlJc w:val="left"/>
      <w:pPr>
        <w:ind w:left="1440" w:hanging="360"/>
      </w:pPr>
    </w:lvl>
    <w:lvl w:ilvl="2" w:tplc="0D028322">
      <w:start w:val="1"/>
      <w:numFmt w:val="bullet"/>
      <w:lvlText w:val="■"/>
      <w:lvlJc w:val="left"/>
      <w:pPr>
        <w:ind w:left="2160" w:hanging="360"/>
      </w:pPr>
    </w:lvl>
    <w:lvl w:ilvl="3" w:tplc="30A46A90">
      <w:start w:val="1"/>
      <w:numFmt w:val="bullet"/>
      <w:lvlText w:val="●"/>
      <w:lvlJc w:val="left"/>
      <w:pPr>
        <w:ind w:left="2880" w:hanging="360"/>
      </w:pPr>
    </w:lvl>
    <w:lvl w:ilvl="4" w:tplc="75663AB4">
      <w:start w:val="1"/>
      <w:numFmt w:val="bullet"/>
      <w:lvlText w:val="○"/>
      <w:lvlJc w:val="left"/>
      <w:pPr>
        <w:ind w:left="3600" w:hanging="360"/>
      </w:pPr>
    </w:lvl>
    <w:lvl w:ilvl="5" w:tplc="65E2F02E">
      <w:start w:val="1"/>
      <w:numFmt w:val="bullet"/>
      <w:lvlText w:val="■"/>
      <w:lvlJc w:val="left"/>
      <w:pPr>
        <w:ind w:left="4320" w:hanging="360"/>
      </w:pPr>
    </w:lvl>
    <w:lvl w:ilvl="6" w:tplc="BACCCEB2">
      <w:start w:val="1"/>
      <w:numFmt w:val="bullet"/>
      <w:lvlText w:val="●"/>
      <w:lvlJc w:val="left"/>
      <w:pPr>
        <w:ind w:left="5040" w:hanging="360"/>
      </w:pPr>
    </w:lvl>
    <w:lvl w:ilvl="7" w:tplc="F81E3460">
      <w:start w:val="1"/>
      <w:numFmt w:val="bullet"/>
      <w:lvlText w:val="●"/>
      <w:lvlJc w:val="left"/>
      <w:pPr>
        <w:ind w:left="5760" w:hanging="360"/>
      </w:pPr>
    </w:lvl>
    <w:lvl w:ilvl="8" w:tplc="A86CA814">
      <w:start w:val="1"/>
      <w:numFmt w:val="bullet"/>
      <w:lvlText w:val="●"/>
      <w:lvlJc w:val="left"/>
      <w:pPr>
        <w:ind w:left="6480" w:hanging="360"/>
      </w:pPr>
    </w:lvl>
  </w:abstractNum>
  <w:num w:numId="1" w16cid:durableId="1438452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A99"/>
    <w:rsid w:val="000034C0"/>
    <w:rsid w:val="000309E0"/>
    <w:rsid w:val="00044EFB"/>
    <w:rsid w:val="000F2BFA"/>
    <w:rsid w:val="00333D50"/>
    <w:rsid w:val="00374333"/>
    <w:rsid w:val="005F44AF"/>
    <w:rsid w:val="008E26A6"/>
    <w:rsid w:val="00D87FE6"/>
    <w:rsid w:val="00DB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63CEE5"/>
  <w15:docId w15:val="{A2FDF545-5946-9142-A22A-83132ED4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F44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44AF"/>
  </w:style>
  <w:style w:type="paragraph" w:styleId="Piedepgina">
    <w:name w:val="footer"/>
    <w:basedOn w:val="Normal"/>
    <w:link w:val="PiedepginaCar"/>
    <w:uiPriority w:val="99"/>
    <w:unhideWhenUsed/>
    <w:rsid w:val="005F44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1017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del Modelo Pedagógico — ENSMA (1.4.1)</dc:title>
  <dc:creator>EICIT IA</dc:creator>
  <cp:lastModifiedBy>MIREYA CASTILLO</cp:lastModifiedBy>
  <cp:revision>6</cp:revision>
  <dcterms:created xsi:type="dcterms:W3CDTF">2026-09-02T16:39:00Z</dcterms:created>
  <dcterms:modified xsi:type="dcterms:W3CDTF">2026-09-07T16:16:00Z</dcterms:modified>
</cp:coreProperties>
</file>