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F4E79"/>
          <w:sz w:val="24"/>
          <w:szCs w:val="24"/>
        </w:rPr>
        <w:t xml:space="preserve">EICIT · Escuela Iberoamericana de Ciencias Técnicas</w:t>
      </w:r>
    </w:p>
    <w:p>
      <w:pPr>
        <w:spacing w:after="240"/>
        <w:jc w:val="left"/>
      </w:pPr>
      <w:r>
        <w:rPr>
          <w:color w:val="2E75B6"/>
          <w:sz w:val="22"/>
          <w:szCs w:val="22"/>
        </w:rPr>
        <w:t xml:space="preserve">Acompañamiento técnico a la actualización del PEI — ENSMA</w:t>
      </w:r>
    </w:p>
    <w:p>
      <w:pPr>
        <w:pBdr>
          <w:bottom w:val="single" w:color="BF9000" w:sz="8" w:space="1"/>
        </w:pBdr>
        <w:spacing w:after="120"/>
      </w:pPr>
      <w:r>
        <w:t xml:space="preserve"/>
      </w:r>
    </w:p>
    <w:p>
      <w:pPr>
        <w:spacing w:after="40" w:before="120"/>
      </w:pPr>
      <w:r>
        <w:rPr>
          <w:b/>
          <w:bCs/>
          <w:color w:val="BF9000"/>
          <w:sz w:val="22"/>
          <w:szCs w:val="22"/>
        </w:rPr>
        <w:t xml:space="preserve">DOCUMENTO MAESTRO</w:t>
      </w:r>
    </w:p>
    <w:p>
      <w:pPr>
        <w:spacing w:after="40"/>
      </w:pPr>
      <w:r>
        <w:rPr>
          <w:b/>
          <w:bCs/>
          <w:color w:val="1F4E79"/>
          <w:sz w:val="22"/>
          <w:szCs w:val="22"/>
        </w:rPr>
        <w:t xml:space="preserve">Fase 3 · Modelo Pedagógico · Tareas 1.4.2 y 1.4.3</w:t>
      </w:r>
    </w:p>
    <w:p>
      <w:pPr>
        <w:spacing w:after="200"/>
      </w:pPr>
      <w:r>
        <w:rPr>
          <w:b/>
          <w:bCs/>
          <w:color w:val="1F4E79"/>
          <w:sz w:val="32"/>
          <w:szCs w:val="32"/>
        </w:rPr>
        <w:t xml:space="preserve">Capítulos de innovación y tecnología del modelo pedagógico y su articulación con razón, religión y amabilidad</w:t>
      </w:r>
    </w:p>
    <w:p>
      <w:pPr>
        <w:pBdr>
          <w:bottom w:val="single" w:color="BF9000" w:sz="8" w:space="1"/>
        </w:pBdr>
        <w:spacing w:after="120"/>
      </w:pPr>
      <w:r>
        <w:t xml:space="preserve"/>
      </w:r>
    </w:p>
    <w:tbl>
      <w:tblPr>
        <w:tblW w:type="dxa" w:w="9972"/>
        <w:tblBorders>
          <w:top w:val="single" w:color="2E75B6" w:sz="4"/>
          <w:left w:val="single" w:color="2E75B6" w:sz="4"/>
          <w:bottom w:val="single" w:color="2E75B6" w:sz="4"/>
          <w:right w:val="single" w:color="2E75B6" w:sz="4"/>
          <w:insideH w:val="single" w:color="BFBFBF" w:sz="3"/>
          <w:insideV w:val="single" w:color="BFBFBF" w:sz="3"/>
        </w:tblBorders>
      </w:tblPr>
      <w:tblGrid>
        <w:gridCol w:w="2300"/>
        <w:gridCol w:w="7672"/>
      </w:tblGrid>
      <w:tr>
        <w:tc>
          <w:tcPr>
            <w:tcW w:type="dxa" w:w="2300"/>
            <w:shd w:fill="D5E8F0" w:color="auto" w:val="clear"/>
            <w:tcMar>
              <w:top w:type="dxa" w:w="60"/>
              <w:left w:type="dxa" w:w="90"/>
              <w:bottom w:type="dxa" w:w="60"/>
              <w:right w:type="dxa" w:w="90"/>
            </w:tcMar>
          </w:tcPr>
          <w:p>
            <w:pPr>
              <w:spacing w:after="20" w:line="264" w:lineRule="auto"/>
              <w:jc w:val="both"/>
            </w:pPr>
            <w:r>
              <w:rPr>
                <w:b/>
                <w:bCs/>
                <w:sz w:val="20"/>
                <w:szCs w:val="20"/>
              </w:rPr>
              <w:t xml:space="preserve">Institución</w:t>
            </w:r>
          </w:p>
        </w:tc>
        <w:tc>
          <w:tcPr>
            <w:tcW w:type="dxa" w:w="7672"/>
            <w:tcMar>
              <w:top w:type="dxa" w:w="60"/>
              <w:left w:type="dxa" w:w="90"/>
              <w:bottom w:type="dxa" w:w="60"/>
              <w:right w:type="dxa" w:w="90"/>
            </w:tcMar>
          </w:tcPr>
          <w:p>
            <w:pPr>
              <w:spacing w:after="20" w:line="264" w:lineRule="auto"/>
              <w:jc w:val="both"/>
            </w:pPr>
            <w:r>
              <w:rPr>
                <w:b w:val="false"/>
                <w:bCs w:val="false"/>
                <w:sz w:val="20"/>
                <w:szCs w:val="20"/>
              </w:rPr>
              <w:t xml:space="preserve">Colegio María Auxiliadora de Soacha (ENSMA)</w:t>
            </w:r>
          </w:p>
        </w:tc>
      </w:tr>
      <w:tr>
        <w:tc>
          <w:tcPr>
            <w:tcW w:type="dxa" w:w="2300"/>
            <w:shd w:fill="D5E8F0" w:color="auto" w:val="clear"/>
            <w:tcMar>
              <w:top w:type="dxa" w:w="60"/>
              <w:left w:type="dxa" w:w="90"/>
              <w:bottom w:type="dxa" w:w="60"/>
              <w:right w:type="dxa" w:w="90"/>
            </w:tcMar>
          </w:tcPr>
          <w:p>
            <w:pPr>
              <w:spacing w:after="20" w:line="264" w:lineRule="auto"/>
              <w:jc w:val="both"/>
            </w:pPr>
            <w:r>
              <w:rPr>
                <w:b/>
                <w:bCs/>
                <w:sz w:val="20"/>
                <w:szCs w:val="20"/>
              </w:rPr>
              <w:t xml:space="preserve">Marco normativo</w:t>
            </w:r>
          </w:p>
        </w:tc>
        <w:tc>
          <w:tcPr>
            <w:tcW w:type="dxa" w:w="7672"/>
            <w:tcMar>
              <w:top w:type="dxa" w:w="60"/>
              <w:left w:type="dxa" w:w="90"/>
              <w:bottom w:type="dxa" w:w="60"/>
              <w:right w:type="dxa" w:w="90"/>
            </w:tcMar>
          </w:tcPr>
          <w:p>
            <w:pPr>
              <w:spacing w:after="20" w:line="264" w:lineRule="auto"/>
              <w:jc w:val="both"/>
            </w:pPr>
            <w:r>
              <w:rPr>
                <w:b w:val="false"/>
                <w:bCs w:val="false"/>
                <w:sz w:val="20"/>
                <w:szCs w:val="20"/>
              </w:rPr>
              <w:t xml:space="preserve">Circular 0064 de 2026 (Secretaría de Educación de Soacha) · Actualización del PEI 2026–2027</w:t>
            </w:r>
          </w:p>
        </w:tc>
      </w:tr>
      <w:tr>
        <w:tc>
          <w:tcPr>
            <w:tcW w:type="dxa" w:w="2300"/>
            <w:shd w:fill="D5E8F0" w:color="auto" w:val="clear"/>
            <w:tcMar>
              <w:top w:type="dxa" w:w="60"/>
              <w:left w:type="dxa" w:w="90"/>
              <w:bottom w:type="dxa" w:w="60"/>
              <w:right w:type="dxa" w:w="90"/>
            </w:tcMar>
          </w:tcPr>
          <w:p>
            <w:pPr>
              <w:spacing w:after="20" w:line="264" w:lineRule="auto"/>
              <w:jc w:val="both"/>
            </w:pPr>
            <w:r>
              <w:rPr>
                <w:b/>
                <w:bCs/>
                <w:sz w:val="20"/>
                <w:szCs w:val="20"/>
              </w:rPr>
              <w:t xml:space="preserve">Tareas del cronograma</w:t>
            </w:r>
          </w:p>
        </w:tc>
        <w:tc>
          <w:tcPr>
            <w:tcW w:type="dxa" w:w="7672"/>
            <w:tcMar>
              <w:top w:type="dxa" w:w="60"/>
              <w:left w:type="dxa" w:w="90"/>
              <w:bottom w:type="dxa" w:w="60"/>
              <w:right w:type="dxa" w:w="90"/>
            </w:tcMar>
          </w:tcPr>
          <w:p>
            <w:pPr>
              <w:spacing w:after="20" w:line="264" w:lineRule="auto"/>
              <w:jc w:val="both"/>
            </w:pPr>
            <w:r>
              <w:rPr>
                <w:b w:val="false"/>
                <w:bCs w:val="false"/>
                <w:sz w:val="20"/>
                <w:szCs w:val="20"/>
              </w:rPr>
              <w:t xml:space="preserve">1.4.2 Diseño de los capítulos de innovación y tecnología (lidera EICIT) · 1.4.3 Articulación con razón, religión y amabilidad (Ambas)</w:t>
            </w:r>
          </w:p>
        </w:tc>
      </w:tr>
      <w:tr>
        <w:tc>
          <w:tcPr>
            <w:tcW w:type="dxa" w:w="2300"/>
            <w:shd w:fill="D5E8F0" w:color="auto" w:val="clear"/>
            <w:tcMar>
              <w:top w:type="dxa" w:w="60"/>
              <w:left w:type="dxa" w:w="90"/>
              <w:bottom w:type="dxa" w:w="60"/>
              <w:right w:type="dxa" w:w="90"/>
            </w:tcMar>
          </w:tcPr>
          <w:p>
            <w:pPr>
              <w:spacing w:after="20" w:line="264" w:lineRule="auto"/>
              <w:jc w:val="both"/>
            </w:pPr>
            <w:r>
              <w:rPr>
                <w:b/>
                <w:bCs/>
                <w:sz w:val="20"/>
                <w:szCs w:val="20"/>
              </w:rPr>
              <w:t xml:space="preserve">Insumos base</w:t>
            </w:r>
          </w:p>
        </w:tc>
        <w:tc>
          <w:tcPr>
            <w:tcW w:type="dxa" w:w="7672"/>
            <w:tcMar>
              <w:top w:type="dxa" w:w="60"/>
              <w:left w:type="dxa" w:w="90"/>
              <w:bottom w:type="dxa" w:w="60"/>
              <w:right w:type="dxa" w:w="90"/>
            </w:tcMar>
          </w:tcPr>
          <w:p>
            <w:pPr>
              <w:spacing w:after="20" w:line="264" w:lineRule="auto"/>
              <w:jc w:val="both"/>
            </w:pPr>
            <w:r>
              <w:rPr>
                <w:b w:val="false"/>
                <w:bCs w:val="false"/>
                <w:sz w:val="20"/>
                <w:szCs w:val="20"/>
              </w:rPr>
              <w:t xml:space="preserve">Estructura del modelo (1.4.1) · Matriz de incorporación tecnológica (1.3.5/1.3.6) · Línea base de competencias digitales docentes (1.2.5) · PEI vigente (§2.2 y §3.2)</w:t>
            </w:r>
          </w:p>
        </w:tc>
      </w:tr>
      <w:tr>
        <w:tc>
          <w:tcPr>
            <w:tcW w:type="dxa" w:w="2300"/>
            <w:shd w:fill="D5E8F0" w:color="auto" w:val="clear"/>
            <w:tcMar>
              <w:top w:type="dxa" w:w="60"/>
              <w:left w:type="dxa" w:w="90"/>
              <w:bottom w:type="dxa" w:w="60"/>
              <w:right w:type="dxa" w:w="90"/>
            </w:tcMar>
          </w:tcPr>
          <w:p>
            <w:pPr>
              <w:spacing w:after="20" w:line="264" w:lineRule="auto"/>
              <w:jc w:val="both"/>
            </w:pPr>
            <w:r>
              <w:rPr>
                <w:b/>
                <w:bCs/>
                <w:sz w:val="20"/>
                <w:szCs w:val="20"/>
              </w:rPr>
              <w:t xml:space="preserve">Elaboró</w:t>
            </w:r>
          </w:p>
        </w:tc>
        <w:tc>
          <w:tcPr>
            <w:tcW w:type="dxa" w:w="7672"/>
            <w:tcMar>
              <w:top w:type="dxa" w:w="60"/>
              <w:left w:type="dxa" w:w="90"/>
              <w:bottom w:type="dxa" w:w="60"/>
              <w:right w:type="dxa" w:w="90"/>
            </w:tcMar>
          </w:tcPr>
          <w:p>
            <w:pPr>
              <w:spacing w:after="20" w:line="264" w:lineRule="auto"/>
              <w:jc w:val="both"/>
            </w:pPr>
            <w:r>
              <w:rPr>
                <w:b w:val="false"/>
                <w:bCs w:val="false"/>
                <w:sz w:val="20"/>
                <w:szCs w:val="20"/>
              </w:rPr>
              <w:t xml:space="preserve">EICIT IA — asistencia técnica</w:t>
            </w:r>
          </w:p>
        </w:tc>
      </w:tr>
      <w:tr>
        <w:tc>
          <w:tcPr>
            <w:tcW w:type="dxa" w:w="2300"/>
            <w:shd w:fill="D5E8F0" w:color="auto" w:val="clear"/>
            <w:tcMar>
              <w:top w:type="dxa" w:w="60"/>
              <w:left w:type="dxa" w:w="90"/>
              <w:bottom w:type="dxa" w:w="60"/>
              <w:right w:type="dxa" w:w="90"/>
            </w:tcMar>
          </w:tcPr>
          <w:p>
            <w:pPr>
              <w:spacing w:after="20" w:line="264" w:lineRule="auto"/>
              <w:jc w:val="both"/>
            </w:pPr>
            <w:r>
              <w:rPr>
                <w:b/>
                <w:bCs/>
                <w:sz w:val="20"/>
                <w:szCs w:val="20"/>
              </w:rPr>
              <w:t xml:space="preserve">Fecha</w:t>
            </w:r>
          </w:p>
        </w:tc>
        <w:tc>
          <w:tcPr>
            <w:tcW w:type="dxa" w:w="7672"/>
            <w:tcMar>
              <w:top w:type="dxa" w:w="60"/>
              <w:left w:type="dxa" w:w="90"/>
              <w:bottom w:type="dxa" w:w="60"/>
              <w:right w:type="dxa" w:w="90"/>
            </w:tcMar>
          </w:tcPr>
          <w:p>
            <w:pPr>
              <w:spacing w:after="20" w:line="264" w:lineRule="auto"/>
              <w:jc w:val="both"/>
            </w:pPr>
            <w:r>
              <w:rPr>
                <w:b w:val="false"/>
                <w:bCs w:val="false"/>
                <w:sz w:val="20"/>
                <w:szCs w:val="20"/>
              </w:rPr>
              <w:t xml:space="preserve">Septiembre de 2026</w:t>
            </w:r>
          </w:p>
        </w:tc>
      </w:tr>
      <w:tr>
        <w:tc>
          <w:tcPr>
            <w:tcW w:type="dxa" w:w="2300"/>
            <w:shd w:fill="D5E8F0" w:color="auto" w:val="clear"/>
            <w:tcMar>
              <w:top w:type="dxa" w:w="60"/>
              <w:left w:type="dxa" w:w="90"/>
              <w:bottom w:type="dxa" w:w="60"/>
              <w:right w:type="dxa" w:w="90"/>
            </w:tcMar>
          </w:tcPr>
          <w:p>
            <w:pPr>
              <w:spacing w:after="20" w:line="264" w:lineRule="auto"/>
              <w:jc w:val="both"/>
            </w:pPr>
            <w:r>
              <w:rPr>
                <w:b/>
                <w:bCs/>
                <w:sz w:val="20"/>
                <w:szCs w:val="20"/>
              </w:rPr>
              <w:t xml:space="preserve">Encuadre</w:t>
            </w:r>
          </w:p>
        </w:tc>
        <w:tc>
          <w:tcPr>
            <w:tcW w:type="dxa" w:w="7672"/>
            <w:tcMar>
              <w:top w:type="dxa" w:w="60"/>
              <w:left w:type="dxa" w:w="90"/>
              <w:bottom w:type="dxa" w:w="60"/>
              <w:right w:type="dxa" w:w="90"/>
            </w:tcMar>
          </w:tcPr>
          <w:p>
            <w:pPr>
              <w:spacing w:after="20" w:line="264" w:lineRule="auto"/>
              <w:jc w:val="both"/>
            </w:pPr>
            <w:r>
              <w:rPr>
                <w:b w:val="false"/>
                <w:bCs w:val="false"/>
                <w:sz w:val="20"/>
                <w:szCs w:val="20"/>
              </w:rPr>
              <w:t xml:space="preserve">EICIT propone, diseña y acompaña. La ENSMA delibera, decide y adopta (Consejo Académico → Consejo Directivo → resolución rectoral).</w:t>
            </w:r>
          </w:p>
        </w:tc>
      </w:tr>
    </w:tbl>
    <w:p>
      <w:r>
        <w:br w:type="page"/>
      </w:r>
    </w:p>
    <w:p>
      <w:pPr>
        <w:spacing w:after="160"/>
      </w:pPr>
      <w:r>
        <w:rPr>
          <w:b/>
          <w:bCs/>
          <w:color w:val="1F4E79"/>
          <w:sz w:val="26"/>
          <w:szCs w:val="26"/>
        </w:rPr>
        <w:t xml:space="preserve">Contenido</w:t>
      </w:r>
    </w:p>
    <w:p>
      <w:pPr>
        <w:spacing w:after="40" w:before="120"/>
      </w:pPr>
      <w:r>
        <w:rPr>
          <w:b/>
          <w:bCs/>
          <w:color w:val="1F4E79"/>
          <w:sz w:val="22"/>
          <w:szCs w:val="22"/>
        </w:rPr>
        <w:t xml:space="preserve">0.  Presentación y encuadre</w:t>
      </w:r>
    </w:p>
    <w:p>
      <w:pPr>
        <w:spacing w:after="40" w:before="120"/>
      </w:pPr>
      <w:r>
        <w:rPr>
          <w:b/>
          <w:bCs/>
          <w:color w:val="1F4E79"/>
          <w:sz w:val="22"/>
          <w:szCs w:val="22"/>
        </w:rPr>
        <w:t xml:space="preserve">Parte A · Capítulos de innovación y tecnología del modelo (1.4.2)</w:t>
      </w:r>
    </w:p>
    <w:p>
      <w:pPr>
        <w:spacing w:after="30"/>
        <w:ind w:left="360"/>
      </w:pPr>
      <w:r>
        <w:rPr>
          <w:color w:val="333333"/>
          <w:sz w:val="21"/>
          <w:szCs w:val="21"/>
        </w:rPr>
        <w:t xml:space="preserve">A.1  Fundamentación: innovación y tecnología en un modelo salesiano</w:t>
      </w:r>
    </w:p>
    <w:p>
      <w:pPr>
        <w:spacing w:after="30"/>
        <w:ind w:left="360"/>
      </w:pPr>
      <w:r>
        <w:rPr>
          <w:color w:val="333333"/>
          <w:sz w:val="21"/>
          <w:szCs w:val="21"/>
        </w:rPr>
        <w:t xml:space="preserve">A.2  El componente de innovación y tecnología del PEI: seis subcomponentes</w:t>
      </w:r>
    </w:p>
    <w:p>
      <w:pPr>
        <w:spacing w:after="30"/>
        <w:ind w:left="360"/>
      </w:pPr>
      <w:r>
        <w:rPr>
          <w:color w:val="333333"/>
          <w:sz w:val="21"/>
          <w:szCs w:val="21"/>
        </w:rPr>
        <w:t xml:space="preserve">A.3  Principios del enfoque tecnopedagógico</w:t>
      </w:r>
    </w:p>
    <w:p>
      <w:pPr>
        <w:spacing w:after="30"/>
        <w:ind w:left="360"/>
      </w:pPr>
      <w:r>
        <w:rPr>
          <w:color w:val="333333"/>
          <w:sz w:val="21"/>
          <w:szCs w:val="21"/>
        </w:rPr>
        <w:t xml:space="preserve">A.4  El hilo conductor: la progresión de la innovación por ciclos</w:t>
      </w:r>
    </w:p>
    <w:p>
      <w:pPr>
        <w:spacing w:after="30"/>
        <w:ind w:left="360"/>
      </w:pPr>
      <w:r>
        <w:rPr>
          <w:color w:val="333333"/>
          <w:sz w:val="21"/>
          <w:szCs w:val="21"/>
        </w:rPr>
        <w:t xml:space="preserve">A.5  Los «Nuevos Patios» digitales como escenario de aprendizaje</w:t>
      </w:r>
    </w:p>
    <w:p>
      <w:pPr>
        <w:spacing w:after="30"/>
        <w:ind w:left="360"/>
      </w:pPr>
      <w:r>
        <w:rPr>
          <w:color w:val="333333"/>
          <w:sz w:val="21"/>
          <w:szCs w:val="21"/>
        </w:rPr>
        <w:t xml:space="preserve">A.6  Estrategias didácticas con tecnología e inteligencia artificial</w:t>
      </w:r>
    </w:p>
    <w:p>
      <w:pPr>
        <w:spacing w:after="30"/>
        <w:ind w:left="360"/>
      </w:pPr>
      <w:r>
        <w:rPr>
          <w:color w:val="333333"/>
          <w:sz w:val="21"/>
          <w:szCs w:val="21"/>
        </w:rPr>
        <w:t xml:space="preserve">A.7  El docente en entornos tecnológicos y el puente formativo</w:t>
      </w:r>
    </w:p>
    <w:p>
      <w:pPr>
        <w:spacing w:after="30"/>
        <w:ind w:left="360"/>
      </w:pPr>
      <w:r>
        <w:rPr>
          <w:color w:val="333333"/>
          <w:sz w:val="21"/>
          <w:szCs w:val="21"/>
        </w:rPr>
        <w:t xml:space="preserve">A.8  Evaluación y aseguramiento de la competencia digital</w:t>
      </w:r>
    </w:p>
    <w:p>
      <w:pPr>
        <w:spacing w:after="30"/>
        <w:ind w:left="360"/>
      </w:pPr>
      <w:r>
        <w:rPr>
          <w:color w:val="333333"/>
          <w:sz w:val="21"/>
          <w:szCs w:val="21"/>
        </w:rPr>
        <w:t xml:space="preserve">A.9  Trazabilidad con la estructura de 15 secciones</w:t>
      </w:r>
    </w:p>
    <w:p>
      <w:pPr>
        <w:spacing w:after="40" w:before="120"/>
      </w:pPr>
      <w:r>
        <w:rPr>
          <w:b/>
          <w:bCs/>
          <w:color w:val="1F4E79"/>
          <w:sz w:val="22"/>
          <w:szCs w:val="22"/>
        </w:rPr>
        <w:t xml:space="preserve">Parte B · Articulación con razón, religión y amabilidad (1.4.3)</w:t>
      </w:r>
    </w:p>
    <w:p>
      <w:pPr>
        <w:spacing w:after="30"/>
        <w:ind w:left="360"/>
      </w:pPr>
      <w:r>
        <w:rPr>
          <w:color w:val="333333"/>
          <w:sz w:val="21"/>
          <w:szCs w:val="21"/>
        </w:rPr>
        <w:t xml:space="preserve">B.1  Sentido de la articulación</w:t>
      </w:r>
    </w:p>
    <w:p>
      <w:pPr>
        <w:spacing w:after="30"/>
        <w:ind w:left="360"/>
      </w:pPr>
      <w:r>
        <w:rPr>
          <w:color w:val="333333"/>
          <w:sz w:val="21"/>
          <w:szCs w:val="21"/>
        </w:rPr>
        <w:t xml:space="preserve">B.2  Las tres claves del carisma (síntesis desde el PEI vigente)</w:t>
      </w:r>
    </w:p>
    <w:p>
      <w:pPr>
        <w:spacing w:after="30"/>
        <w:ind w:left="360"/>
      </w:pPr>
      <w:r>
        <w:rPr>
          <w:color w:val="333333"/>
          <w:sz w:val="21"/>
          <w:szCs w:val="21"/>
        </w:rPr>
        <w:t xml:space="preserve">B.3  Matriz de articulación: razón–religión–amabilidad × tecnología</w:t>
      </w:r>
    </w:p>
    <w:p>
      <w:pPr>
        <w:spacing w:after="30"/>
        <w:ind w:left="360"/>
      </w:pPr>
      <w:r>
        <w:rPr>
          <w:color w:val="333333"/>
          <w:sz w:val="21"/>
          <w:szCs w:val="21"/>
        </w:rPr>
        <w:t xml:space="preserve">B.4  El bienestar digital como puente</w:t>
      </w:r>
    </w:p>
    <w:p>
      <w:pPr>
        <w:spacing w:after="30"/>
        <w:ind w:left="360"/>
      </w:pPr>
      <w:r>
        <w:rPr>
          <w:color w:val="333333"/>
          <w:sz w:val="21"/>
          <w:szCs w:val="21"/>
        </w:rPr>
        <w:t xml:space="preserve">B.5  Criterios de discernimiento y límites</w:t>
      </w:r>
    </w:p>
    <w:p>
      <w:pPr>
        <w:spacing w:after="30"/>
        <w:ind w:left="360"/>
      </w:pPr>
      <w:r>
        <w:rPr>
          <w:color w:val="333333"/>
          <w:sz w:val="21"/>
          <w:szCs w:val="21"/>
        </w:rPr>
        <w:t xml:space="preserve">B.6  Nota para el equipo pastoral</w:t>
      </w:r>
    </w:p>
    <w:p>
      <w:pPr>
        <w:spacing w:after="40" w:before="120"/>
      </w:pPr>
      <w:r>
        <w:rPr>
          <w:b/>
          <w:bCs/>
          <w:color w:val="1F4E79"/>
          <w:sz w:val="22"/>
          <w:szCs w:val="22"/>
        </w:rPr>
        <w:t xml:space="preserve">Cierre · Ruta de continuidad y adopción</w:t>
      </w:r>
    </w:p>
    <w:p>
      <w:pPr>
        <w:spacing w:after="40" w:before="120"/>
      </w:pPr>
      <w:r>
        <w:rPr>
          <w:b/>
          <w:bCs/>
          <w:color w:val="1F4E79"/>
          <w:sz w:val="22"/>
          <w:szCs w:val="22"/>
        </w:rPr>
        <w:t xml:space="preserve">Anexo · Trazabilidad de referentes e insumos</w:t>
      </w:r>
    </w:p>
    <w:p>
      <w:r>
        <w:br w:type="page"/>
      </w:r>
    </w:p>
    <w:p>
      <w:pPr>
        <w:pStyle w:val="Heading1"/>
      </w:pPr>
      <w:r>
        <w:t xml:space="preserve">0. Presentación y encuadre</w:t>
      </w:r>
    </w:p>
    <w:p>
      <w:pPr>
        <w:pStyle w:val="Heading2"/>
      </w:pPr>
      <w:r>
        <w:t xml:space="preserve">0.1 Objeto</w:t>
      </w:r>
    </w:p>
    <w:p>
      <w:pPr>
        <w:spacing w:after="120"/>
        <w:jc w:val="both"/>
      </w:pPr>
      <w:r>
        <w:t xml:space="preserve">Este documento presenta el diseño de los capítulos de innovación y tecnología del modelo pedagógico de la ENSMA (Tarea 1.4.2) y su articulación con las tres claves del carisma salesiano —razón, religión y amabilidad— (Tarea 1.4.3), en el marco de la Fase 3 del acompañamiento de EICIT a la actualización del PEI. Ambas tareas se conciben de manera integrada: los capítulos de innovación no se yuxtaponen al carisma, sino que se articulan por dentro de él.</w:t>
      </w:r>
    </w:p>
    <w:p>
      <w:pPr>
        <w:pStyle w:val="Heading2"/>
      </w:pPr>
      <w:r>
        <w:t xml:space="preserve">0.2 Insumos base</w:t>
      </w:r>
    </w:p>
    <w:p>
      <w:pPr>
        <w:spacing w:after="120"/>
        <w:jc w:val="both"/>
      </w:pPr>
      <w:r>
        <w:t xml:space="preserve">El diseño se apoya en cuatro insumos ya producidos o vigentes, a los que remite en cada apartado:</w:t>
      </w:r>
    </w:p>
    <w:p>
      <w:pPr>
        <w:pStyle w:val="ListParagraph"/>
        <w:numPr>
          <w:ilvl w:val="0"/>
          <w:numId w:val="2"/>
        </w:numPr>
        <w:spacing w:after="60"/>
        <w:jc w:val="both"/>
      </w:pPr>
      <w:r>
        <w:rPr>
          <w:b/>
          <w:bCs/>
        </w:rPr>
        <w:t xml:space="preserve">Tarea 1.4.1 — </w:t>
      </w:r>
      <w:r>
        <w:t xml:space="preserve">estructura de quince secciones del modelo pedagógico propuesta para deliberación de la ENSMA, con el principio integrador de los «Nuevos Patios».</w:t>
      </w:r>
    </w:p>
    <w:p>
      <w:pPr>
        <w:pStyle w:val="ListParagraph"/>
        <w:numPr>
          <w:ilvl w:val="0"/>
          <w:numId w:val="2"/>
        </w:numPr>
        <w:spacing w:after="60"/>
        <w:jc w:val="both"/>
      </w:pPr>
      <w:r>
        <w:rPr>
          <w:b/>
          <w:bCs/>
        </w:rPr>
        <w:t xml:space="preserve">Tareas 1.3.5/1.3.6 — </w:t>
      </w:r>
      <w:r>
        <w:t xml:space="preserve">arquitectura de seis subcomponentes del componente de innovación y tecnología del PEI y priorización de los referentes tecnológicos.</w:t>
      </w:r>
    </w:p>
    <w:p>
      <w:pPr>
        <w:pStyle w:val="ListParagraph"/>
        <w:numPr>
          <w:ilvl w:val="0"/>
          <w:numId w:val="2"/>
        </w:numPr>
        <w:spacing w:after="60"/>
        <w:jc w:val="both"/>
      </w:pPr>
      <w:r>
        <w:rPr>
          <w:b/>
          <w:bCs/>
        </w:rPr>
        <w:t xml:space="preserve">Tarea 1.2.5 — </w:t>
      </w:r>
      <w:r>
        <w:t xml:space="preserve">línea base de la competencia digital docente (índice global 79,4; 28 de 33 docentes), con la brecha entre interés y destreza en inteligencia artificial como señal diagnóstica.</w:t>
      </w:r>
    </w:p>
    <w:p>
      <w:pPr>
        <w:pStyle w:val="ListParagraph"/>
        <w:numPr>
          <w:ilvl w:val="0"/>
          <w:numId w:val="2"/>
        </w:numPr>
        <w:spacing w:after="60"/>
        <w:jc w:val="both"/>
      </w:pPr>
      <w:r>
        <w:rPr>
          <w:b/>
          <w:bCs/>
        </w:rPr>
        <w:t xml:space="preserve">PEI vigente — </w:t>
      </w:r>
      <w:r>
        <w:t xml:space="preserve">modelo pedagógico institucional (§3.2) y fundamentos del PEI (§2.2), de donde se toman, en su propio lenguaje, el Sistema Preventivo y el trinomio razón–religión–amabilidad.</w:t>
      </w:r>
    </w:p>
    <w:p>
      <w:pPr>
        <w:pStyle w:val="Heading2"/>
      </w:pPr>
      <w:r>
        <w:t xml:space="preserve">0.3 Alcance: nivel modelo, no malla — el candado F3→F4</w:t>
      </w:r>
    </w:p>
    <w:p>
      <w:pPr>
        <w:spacing w:after="120"/>
        <w:jc w:val="both"/>
      </w:pPr>
      <w:r>
        <w:t xml:space="preserve">Este documento opera en el nivel del modelo pedagógico: fija principios, arquitectura conceptual y fundamentación. No es la malla curricular. En consecuencia, declara la lógica de la progresión de la innovación por ciclos —su sentido y sus focos de capacidad— pero no desarrolla los contenidos grado a grado, ni su alineación con los DBA y los EBC, ni la intensidad horaria ni el equilibrio 80/20. Esa concreción corresponde a la Fase 4 (Tarea 1.5.4, línea transversal de Tecnología e Innovación) y solo puede iniciarse una vez validado el modelo. Este es el candado de la Fase 3: ninguna malla se diseña sin el modelo aprobado.</w:t>
      </w:r>
    </w:p>
    <w:p>
      <w:pPr>
        <w:pStyle w:val="Heading2"/>
      </w:pPr>
      <w:r>
        <w:t xml:space="preserve">0.4 Principio integrador: los «Nuevos Patios»</w:t>
      </w:r>
    </w:p>
    <w:p>
      <w:pPr>
        <w:spacing w:after="120"/>
        <w:jc w:val="both"/>
      </w:pPr>
      <w:r>
        <w:t xml:space="preserve">El modelo asume el principio ya planteado en la estructura de la Tarea 1.4.1. En Don Bosco, el patio es el lugar del encuentro y de la presencia del educador entre los jóvenes —la «asistencia»—. Hoy los jóvenes habitan también un patio digital. Por eso la innovación y la tecnología no compiten con el carisma: son el Sistema Preventivo aplicado al lugar donde los jóvenes ahora viven. Este principio recorre todo el modelo y hace que la innovación sea una expresión contemporánea de la identidad salesiana, no un añadido. Los capítulos que siguen desarrollan esa expresión (Parte A) y explicitan cómo se articula con cada clave del carisma (Parte B).</w:t>
      </w:r>
    </w:p>
    <w:p>
      <w:r>
        <w:br w:type="page"/>
      </w:r>
    </w:p>
    <w:p>
      <w:pPr>
        <w:pBdr>
          <w:bottom w:val="single" w:color="1F4E79" w:sz="12" w:space="2"/>
        </w:pBdr>
        <w:spacing w:after="120"/>
      </w:pPr>
      <w:r>
        <w:rPr>
          <w:b/>
          <w:bCs/>
          <w:color w:val="1F4E79"/>
          <w:sz w:val="26"/>
          <w:szCs w:val="26"/>
        </w:rPr>
        <w:t xml:space="preserve">PARTE A · Capítulos de innovación y tecnología del modelo (Tarea 1.4.2)</w:t>
      </w:r>
    </w:p>
    <w:p>
      <w:pPr>
        <w:pStyle w:val="Heading1"/>
      </w:pPr>
      <w:r>
        <w:t xml:space="preserve">A.1 Fundamentación: innovación y tecnología en un modelo salesiano</w:t>
      </w:r>
    </w:p>
    <w:p>
      <w:pPr>
        <w:spacing w:after="120"/>
        <w:jc w:val="both"/>
      </w:pPr>
      <w:r>
        <w:t xml:space="preserve">El PEI vigente ya abre la puerta tecnológica: sus fundamentos epistemológicos declaran un «nuevo énfasis institucional orientado al desarrollo humano, social y tecnológico», y su modelo pedagógico reconoce el «uso ético de las tecnologías» y el fortalecimiento de competencias «digitales y tecnológicas». El componente de innovación no introduce, por tanto, un cuerpo extraño: da estructura y profundidad a una orientación que la institución ya asumió.</w:t>
      </w:r>
    </w:p>
    <w:p>
      <w:pPr>
        <w:spacing w:after="120"/>
        <w:jc w:val="both"/>
      </w:pPr>
      <w:r>
        <w:rPr>
          <w:b/>
          <w:bCs/>
          <w:color w:val="1F4E79"/>
        </w:rPr>
        <w:t xml:space="preserve">Del énfasis en software a un horizonte más amplio. </w:t>
      </w:r>
      <w:r>
        <w:t xml:space="preserve">El énfasis en «manejo de software» presente en el PEI se reencuadra como parte de un horizonte más comprensivo: el pensamiento computacional, la cultura de datos, la inteligencia artificial y la creación digital. Este reencuadre es coherente con la decisión, ya adoptada por la institución por recomendación de EICIT, de orientar la media técnica hacia la Programación para Analítica de Datos.</w:t>
      </w:r>
    </w:p>
    <w:p>
      <w:pPr>
        <w:spacing w:after="120"/>
        <w:jc w:val="both"/>
      </w:pPr>
      <w:r>
        <w:rPr>
          <w:b/>
          <w:bCs/>
          <w:color w:val="1F4E79"/>
        </w:rPr>
        <w:t xml:space="preserve">El sentido formativo: comprender e insertarse en el mundo de la Cuarta Revolución Industrial. </w:t>
      </w:r>
      <w:r>
        <w:t xml:space="preserve">La finalidad del componente no es instrumental. Se trata de que los estudiantes comprendan un mundo moldeado por las tecnologías de la Cuarta Revolución Industrial y puedan insertarse en él de manera productiva, provechosa y exitosa. La tecnología se forma como cultura y como criterio, no solo como habilidad de uso.</w:t>
      </w:r>
    </w:p>
    <w:p>
      <w:pPr>
        <w:spacing w:after="120"/>
        <w:jc w:val="both"/>
      </w:pPr>
      <w:r>
        <w:rPr>
          <w:b/>
          <w:bCs/>
          <w:color w:val="1F4E79"/>
        </w:rPr>
        <w:t xml:space="preserve">En clave salesiana: «buenos cristianos y honestos ciudadanos» también en lo digital. </w:t>
      </w:r>
      <w:r>
        <w:t xml:space="preserve">La fórmula que orienta todo el PEI se prolonga al entorno digital: formar ciudadanos digitales íntegros, críticos y solidarios, que pongan la tecnología al servicio del desarrollo integral y del cuidado de la casa común.</w:t>
      </w:r>
    </w:p>
    <w:p>
      <w:pPr>
        <w:pStyle w:val="Heading1"/>
      </w:pPr>
      <w:r>
        <w:t xml:space="preserve">A.2 El componente de innovación y tecnología del PEI: seis subcomponentes</w:t>
      </w:r>
    </w:p>
    <w:p>
      <w:pPr>
        <w:spacing w:after="120"/>
        <w:jc w:val="both"/>
      </w:pPr>
      <w:r>
        <w:t xml:space="preserve">La matriz de incorporación tecnológica (1.3.6) organiza el componente en seis subcomponentes. El modelo pedagógico los articula y les da fundamento; el cuadro siguiente los enuncia y señala en qué instrumento del PEI se concretan.</w:t>
      </w:r>
    </w:p>
    <w:tbl>
      <w:tblPr>
        <w:tblW w:type="dxa" w:w="9972"/>
        <w:tblBorders>
          <w:top w:val="single" w:color="2E75B6" w:sz="4"/>
          <w:left w:val="single" w:color="2E75B6" w:sz="4"/>
          <w:bottom w:val="single" w:color="2E75B6" w:sz="4"/>
          <w:right w:val="single" w:color="2E75B6" w:sz="4"/>
          <w:insideH w:val="single" w:color="BFBFBF" w:sz="3"/>
          <w:insideV w:val="single" w:color="BFBFBF" w:sz="3"/>
        </w:tblBorders>
      </w:tblPr>
      <w:tblGrid>
        <w:gridCol w:w="600"/>
        <w:gridCol w:w="3400"/>
        <w:gridCol w:w="3400"/>
        <w:gridCol w:w="2572"/>
      </w:tblGrid>
      <w:tr>
        <w:trPr>
          <w:tblHeader/>
        </w:trPr>
        <w:tc>
          <w:tcPr>
            <w:tcW w:type="dxa" w:w="600"/>
            <w:shd w:fill="D5E8F0" w:color="auto" w:val="clear"/>
            <w:tcMar>
              <w:top w:type="dxa" w:w="60"/>
              <w:left w:type="dxa" w:w="90"/>
              <w:bottom w:type="dxa" w:w="60"/>
              <w:right w:type="dxa" w:w="90"/>
            </w:tcMar>
          </w:tcPr>
          <w:p>
            <w:pPr>
              <w:spacing w:after="20" w:line="264" w:lineRule="auto"/>
              <w:jc w:val="left"/>
            </w:pPr>
            <w:r>
              <w:rPr>
                <w:b/>
                <w:bCs/>
                <w:color w:val="1F4E79"/>
                <w:sz w:val="20"/>
                <w:szCs w:val="20"/>
              </w:rPr>
              <w:t xml:space="preserve">#</w:t>
            </w:r>
          </w:p>
        </w:tc>
        <w:tc>
          <w:tcPr>
            <w:tcW w:type="dxa" w:w="3400"/>
            <w:shd w:fill="D5E8F0" w:color="auto" w:val="clear"/>
            <w:tcMar>
              <w:top w:type="dxa" w:w="60"/>
              <w:left w:type="dxa" w:w="90"/>
              <w:bottom w:type="dxa" w:w="60"/>
              <w:right w:type="dxa" w:w="90"/>
            </w:tcMar>
          </w:tcPr>
          <w:p>
            <w:pPr>
              <w:spacing w:after="20" w:line="264" w:lineRule="auto"/>
              <w:jc w:val="left"/>
            </w:pPr>
            <w:r>
              <w:rPr>
                <w:b/>
                <w:bCs/>
                <w:color w:val="1F4E79"/>
                <w:sz w:val="20"/>
                <w:szCs w:val="20"/>
              </w:rPr>
              <w:t xml:space="preserve">Subcomponente</w:t>
            </w:r>
          </w:p>
        </w:tc>
        <w:tc>
          <w:tcPr>
            <w:tcW w:type="dxa" w:w="3400"/>
            <w:shd w:fill="D5E8F0" w:color="auto" w:val="clear"/>
            <w:tcMar>
              <w:top w:type="dxa" w:w="60"/>
              <w:left w:type="dxa" w:w="90"/>
              <w:bottom w:type="dxa" w:w="60"/>
              <w:right w:type="dxa" w:w="90"/>
            </w:tcMar>
          </w:tcPr>
          <w:p>
            <w:pPr>
              <w:spacing w:after="20" w:line="264" w:lineRule="auto"/>
              <w:jc w:val="left"/>
            </w:pPr>
            <w:r>
              <w:rPr>
                <w:b/>
                <w:bCs/>
                <w:color w:val="1F4E79"/>
                <w:sz w:val="20"/>
                <w:szCs w:val="20"/>
              </w:rPr>
              <w:t xml:space="preserve">Se alimenta de</w:t>
            </w:r>
          </w:p>
        </w:tc>
        <w:tc>
          <w:tcPr>
            <w:tcW w:type="dxa" w:w="2572"/>
            <w:shd w:fill="D5E8F0" w:color="auto" w:val="clear"/>
            <w:tcMar>
              <w:top w:type="dxa" w:w="60"/>
              <w:left w:type="dxa" w:w="90"/>
              <w:bottom w:type="dxa" w:w="60"/>
              <w:right w:type="dxa" w:w="90"/>
            </w:tcMar>
          </w:tcPr>
          <w:p>
            <w:pPr>
              <w:spacing w:after="20" w:line="264" w:lineRule="auto"/>
              <w:jc w:val="left"/>
            </w:pPr>
            <w:r>
              <w:rPr>
                <w:b/>
                <w:bCs/>
                <w:color w:val="1F4E79"/>
                <w:sz w:val="20"/>
                <w:szCs w:val="20"/>
              </w:rPr>
              <w:t xml:space="preserve">Se concreta en</w:t>
            </w:r>
          </w:p>
        </w:tc>
      </w:tr>
      <w:tr>
        <w:tc>
          <w:tcPr>
            <w:tcW w:type="dxa" w:w="600"/>
            <w:tcMar>
              <w:top w:type="dxa" w:w="60"/>
              <w:left w:type="dxa" w:w="90"/>
              <w:bottom w:type="dxa" w:w="60"/>
              <w:right w:type="dxa" w:w="90"/>
            </w:tcMar>
          </w:tcPr>
          <w:p>
            <w:pPr>
              <w:spacing w:after="20" w:line="264" w:lineRule="auto"/>
              <w:jc w:val="both"/>
            </w:pPr>
            <w:r>
              <w:rPr>
                <w:b w:val="false"/>
                <w:bCs w:val="false"/>
                <w:sz w:val="20"/>
                <w:szCs w:val="20"/>
              </w:rPr>
              <w:t xml:space="preserve">1</w:t>
            </w:r>
          </w:p>
        </w:tc>
        <w:tc>
          <w:tcPr>
            <w:tcW w:type="dxa" w:w="3400"/>
            <w:tcMar>
              <w:top w:type="dxa" w:w="60"/>
              <w:left w:type="dxa" w:w="90"/>
              <w:bottom w:type="dxa" w:w="60"/>
              <w:right w:type="dxa" w:w="90"/>
            </w:tcMar>
          </w:tcPr>
          <w:p>
            <w:pPr>
              <w:spacing w:after="20" w:line="264" w:lineRule="auto"/>
              <w:jc w:val="both"/>
            </w:pPr>
            <w:r>
              <w:rPr>
                <w:b w:val="false"/>
                <w:bCs w:val="false"/>
                <w:sz w:val="20"/>
                <w:szCs w:val="20"/>
              </w:rPr>
              <w:t xml:space="preserve">Horizonte y perfil (sello de innovación)</w:t>
            </w:r>
          </w:p>
        </w:tc>
        <w:tc>
          <w:tcPr>
            <w:tcW w:type="dxa" w:w="3400"/>
            <w:tcMar>
              <w:top w:type="dxa" w:w="60"/>
              <w:left w:type="dxa" w:w="90"/>
              <w:bottom w:type="dxa" w:w="60"/>
              <w:right w:type="dxa" w:w="90"/>
            </w:tcMar>
          </w:tcPr>
          <w:p>
            <w:pPr>
              <w:spacing w:after="20" w:line="264" w:lineRule="auto"/>
              <w:jc w:val="both"/>
            </w:pPr>
            <w:r>
              <w:rPr>
                <w:b w:val="false"/>
                <w:bCs w:val="false"/>
                <w:sz w:val="20"/>
                <w:szCs w:val="20"/>
              </w:rPr>
              <w:t xml:space="preserve">Apuesta institucional · resultados del Diplomado · repunte de la competencia digital</w:t>
            </w:r>
          </w:p>
        </w:tc>
        <w:tc>
          <w:tcPr>
            <w:tcW w:type="dxa" w:w="2572"/>
            <w:tcMar>
              <w:top w:type="dxa" w:w="60"/>
              <w:left w:type="dxa" w:w="90"/>
              <w:bottom w:type="dxa" w:w="60"/>
              <w:right w:type="dxa" w:w="90"/>
            </w:tcMar>
          </w:tcPr>
          <w:p>
            <w:pPr>
              <w:spacing w:after="20" w:line="264" w:lineRule="auto"/>
              <w:jc w:val="both"/>
            </w:pPr>
            <w:r>
              <w:rPr>
                <w:b w:val="false"/>
                <w:bCs w:val="false"/>
                <w:sz w:val="20"/>
                <w:szCs w:val="20"/>
              </w:rPr>
              <w:t xml:space="preserve">Horizonte institucional · perfil del estudiante · modelo pedagógico</w:t>
            </w:r>
          </w:p>
        </w:tc>
      </w:tr>
      <w:tr>
        <w:tc>
          <w:tcPr>
            <w:tcW w:type="dxa" w:w="600"/>
            <w:tcMar>
              <w:top w:type="dxa" w:w="60"/>
              <w:left w:type="dxa" w:w="90"/>
              <w:bottom w:type="dxa" w:w="60"/>
              <w:right w:type="dxa" w:w="90"/>
            </w:tcMar>
          </w:tcPr>
          <w:p>
            <w:pPr>
              <w:spacing w:after="20" w:line="264" w:lineRule="auto"/>
              <w:jc w:val="both"/>
            </w:pPr>
            <w:r>
              <w:rPr>
                <w:b w:val="false"/>
                <w:bCs w:val="false"/>
                <w:sz w:val="20"/>
                <w:szCs w:val="20"/>
              </w:rPr>
              <w:t xml:space="preserve">2</w:t>
            </w:r>
          </w:p>
        </w:tc>
        <w:tc>
          <w:tcPr>
            <w:tcW w:type="dxa" w:w="3400"/>
            <w:tcMar>
              <w:top w:type="dxa" w:w="60"/>
              <w:left w:type="dxa" w:w="90"/>
              <w:bottom w:type="dxa" w:w="60"/>
              <w:right w:type="dxa" w:w="90"/>
            </w:tcMar>
          </w:tcPr>
          <w:p>
            <w:pPr>
              <w:spacing w:after="20" w:line="264" w:lineRule="auto"/>
              <w:jc w:val="both"/>
            </w:pPr>
            <w:r>
              <w:rPr>
                <w:b w:val="false"/>
                <w:bCs w:val="false"/>
                <w:sz w:val="20"/>
                <w:szCs w:val="20"/>
              </w:rPr>
              <w:t xml:space="preserve">Modelo pedagógico (mediación con IA)</w:t>
            </w:r>
          </w:p>
        </w:tc>
        <w:tc>
          <w:tcPr>
            <w:tcW w:type="dxa" w:w="3400"/>
            <w:tcMar>
              <w:top w:type="dxa" w:w="60"/>
              <w:left w:type="dxa" w:w="90"/>
              <w:bottom w:type="dxa" w:w="60"/>
              <w:right w:type="dxa" w:w="90"/>
            </w:tcMar>
          </w:tcPr>
          <w:p>
            <w:pPr>
              <w:spacing w:after="20" w:line="264" w:lineRule="auto"/>
              <w:jc w:val="both"/>
            </w:pPr>
            <w:r>
              <w:rPr>
                <w:b w:val="false"/>
                <w:bCs w:val="false"/>
                <w:sz w:val="20"/>
                <w:szCs w:val="20"/>
              </w:rPr>
              <w:t xml:space="preserve">Directiva MEN 01/2026 · lineamientos curriculares · Diplomado</w:t>
            </w:r>
          </w:p>
        </w:tc>
        <w:tc>
          <w:tcPr>
            <w:tcW w:type="dxa" w:w="2572"/>
            <w:tcMar>
              <w:top w:type="dxa" w:w="60"/>
              <w:left w:type="dxa" w:w="90"/>
              <w:bottom w:type="dxa" w:w="60"/>
              <w:right w:type="dxa" w:w="90"/>
            </w:tcMar>
          </w:tcPr>
          <w:p>
            <w:pPr>
              <w:spacing w:after="20" w:line="264" w:lineRule="auto"/>
              <w:jc w:val="both"/>
            </w:pPr>
            <w:r>
              <w:rPr>
                <w:b w:val="false"/>
                <w:bCs w:val="false"/>
                <w:sz w:val="20"/>
                <w:szCs w:val="20"/>
              </w:rPr>
              <w:t xml:space="preserve">Enfoque y estrategias del modelo</w:t>
            </w:r>
          </w:p>
        </w:tc>
      </w:tr>
      <w:tr>
        <w:tc>
          <w:tcPr>
            <w:tcW w:type="dxa" w:w="600"/>
            <w:tcMar>
              <w:top w:type="dxa" w:w="60"/>
              <w:left w:type="dxa" w:w="90"/>
              <w:bottom w:type="dxa" w:w="60"/>
              <w:right w:type="dxa" w:w="90"/>
            </w:tcMar>
          </w:tcPr>
          <w:p>
            <w:pPr>
              <w:spacing w:after="20" w:line="264" w:lineRule="auto"/>
              <w:jc w:val="both"/>
            </w:pPr>
            <w:r>
              <w:rPr>
                <w:b w:val="false"/>
                <w:bCs w:val="false"/>
                <w:sz w:val="20"/>
                <w:szCs w:val="20"/>
              </w:rPr>
              <w:t xml:space="preserve">3</w:t>
            </w:r>
          </w:p>
        </w:tc>
        <w:tc>
          <w:tcPr>
            <w:tcW w:type="dxa" w:w="3400"/>
            <w:tcMar>
              <w:top w:type="dxa" w:w="60"/>
              <w:left w:type="dxa" w:w="90"/>
              <w:bottom w:type="dxa" w:w="60"/>
              <w:right w:type="dxa" w:w="90"/>
            </w:tcMar>
          </w:tcPr>
          <w:p>
            <w:pPr>
              <w:spacing w:after="20" w:line="264" w:lineRule="auto"/>
              <w:jc w:val="both"/>
            </w:pPr>
            <w:r>
              <w:rPr>
                <w:b w:val="false"/>
                <w:bCs w:val="false"/>
                <w:sz w:val="20"/>
                <w:szCs w:val="20"/>
              </w:rPr>
              <w:t xml:space="preserve">Plan de estudios / línea transversal de TIC</w:t>
            </w:r>
          </w:p>
        </w:tc>
        <w:tc>
          <w:tcPr>
            <w:tcW w:type="dxa" w:w="3400"/>
            <w:tcMar>
              <w:top w:type="dxa" w:w="60"/>
              <w:left w:type="dxa" w:w="90"/>
              <w:bottom w:type="dxa" w:w="60"/>
              <w:right w:type="dxa" w:w="90"/>
            </w:tcMar>
          </w:tcPr>
          <w:p>
            <w:pPr>
              <w:spacing w:after="20" w:line="264" w:lineRule="auto"/>
              <w:jc w:val="both"/>
            </w:pPr>
            <w:r>
              <w:rPr>
                <w:b w:val="false"/>
                <w:bCs w:val="false"/>
                <w:sz w:val="20"/>
                <w:szCs w:val="20"/>
              </w:rPr>
              <w:t xml:space="preserve">Línea transversal de TIC (1.5.4) · Ley 2489/2025</w:t>
            </w:r>
          </w:p>
        </w:tc>
        <w:tc>
          <w:tcPr>
            <w:tcW w:type="dxa" w:w="2572"/>
            <w:tcMar>
              <w:top w:type="dxa" w:w="60"/>
              <w:left w:type="dxa" w:w="90"/>
              <w:bottom w:type="dxa" w:w="60"/>
              <w:right w:type="dxa" w:w="90"/>
            </w:tcMar>
          </w:tcPr>
          <w:p>
            <w:pPr>
              <w:spacing w:after="20" w:line="264" w:lineRule="auto"/>
              <w:jc w:val="both"/>
            </w:pPr>
            <w:r>
              <w:rPr>
                <w:b w:val="false"/>
                <w:bCs w:val="false"/>
                <w:sz w:val="20"/>
                <w:szCs w:val="20"/>
              </w:rPr>
              <w:t xml:space="preserve">Mallas curriculares (Fase 4)</w:t>
            </w:r>
          </w:p>
        </w:tc>
      </w:tr>
      <w:tr>
        <w:tc>
          <w:tcPr>
            <w:tcW w:type="dxa" w:w="600"/>
            <w:tcMar>
              <w:top w:type="dxa" w:w="60"/>
              <w:left w:type="dxa" w:w="90"/>
              <w:bottom w:type="dxa" w:w="60"/>
              <w:right w:type="dxa" w:w="90"/>
            </w:tcMar>
          </w:tcPr>
          <w:p>
            <w:pPr>
              <w:spacing w:after="20" w:line="264" w:lineRule="auto"/>
              <w:jc w:val="both"/>
            </w:pPr>
            <w:r>
              <w:rPr>
                <w:b w:val="false"/>
                <w:bCs w:val="false"/>
                <w:sz w:val="20"/>
                <w:szCs w:val="20"/>
              </w:rPr>
              <w:t xml:space="preserve">4</w:t>
            </w:r>
          </w:p>
        </w:tc>
        <w:tc>
          <w:tcPr>
            <w:tcW w:type="dxa" w:w="3400"/>
            <w:tcMar>
              <w:top w:type="dxa" w:w="60"/>
              <w:left w:type="dxa" w:w="90"/>
              <w:bottom w:type="dxa" w:w="60"/>
              <w:right w:type="dxa" w:w="90"/>
            </w:tcMar>
          </w:tcPr>
          <w:p>
            <w:pPr>
              <w:spacing w:after="20" w:line="264" w:lineRule="auto"/>
              <w:jc w:val="both"/>
            </w:pPr>
            <w:r>
              <w:rPr>
                <w:b w:val="false"/>
                <w:bCs w:val="false"/>
                <w:sz w:val="20"/>
                <w:szCs w:val="20"/>
              </w:rPr>
              <w:t xml:space="preserve">Ciudadanía y convivencia digital</w:t>
            </w:r>
          </w:p>
        </w:tc>
        <w:tc>
          <w:tcPr>
            <w:tcW w:type="dxa" w:w="3400"/>
            <w:tcMar>
              <w:top w:type="dxa" w:w="60"/>
              <w:left w:type="dxa" w:w="90"/>
              <w:bottom w:type="dxa" w:w="60"/>
              <w:right w:type="dxa" w:w="90"/>
            </w:tcMar>
          </w:tcPr>
          <w:p>
            <w:pPr>
              <w:spacing w:after="20" w:line="264" w:lineRule="auto"/>
              <w:jc w:val="both"/>
            </w:pPr>
            <w:r>
              <w:rPr>
                <w:b w:val="false"/>
                <w:bCs w:val="false"/>
                <w:sz w:val="20"/>
                <w:szCs w:val="20"/>
              </w:rPr>
              <w:t xml:space="preserve">Leyes 2489/2025 y 2564/2026 · Orientaciones ESA con TIC</w:t>
            </w:r>
          </w:p>
        </w:tc>
        <w:tc>
          <w:tcPr>
            <w:tcW w:type="dxa" w:w="2572"/>
            <w:tcMar>
              <w:top w:type="dxa" w:w="60"/>
              <w:left w:type="dxa" w:w="90"/>
              <w:bottom w:type="dxa" w:w="60"/>
              <w:right w:type="dxa" w:w="90"/>
            </w:tcMar>
          </w:tcPr>
          <w:p>
            <w:pPr>
              <w:spacing w:after="20" w:line="264" w:lineRule="auto"/>
              <w:jc w:val="both"/>
            </w:pPr>
            <w:r>
              <w:rPr>
                <w:b w:val="false"/>
                <w:bCs w:val="false"/>
                <w:sz w:val="20"/>
                <w:szCs w:val="20"/>
              </w:rPr>
              <w:t xml:space="preserve">Ejes transversales · Manual de Convivencia</w:t>
            </w:r>
          </w:p>
        </w:tc>
      </w:tr>
      <w:tr>
        <w:tc>
          <w:tcPr>
            <w:tcW w:type="dxa" w:w="600"/>
            <w:tcMar>
              <w:top w:type="dxa" w:w="60"/>
              <w:left w:type="dxa" w:w="90"/>
              <w:bottom w:type="dxa" w:w="60"/>
              <w:right w:type="dxa" w:w="90"/>
            </w:tcMar>
          </w:tcPr>
          <w:p>
            <w:pPr>
              <w:spacing w:after="20" w:line="264" w:lineRule="auto"/>
              <w:jc w:val="both"/>
            </w:pPr>
            <w:r>
              <w:rPr>
                <w:b w:val="false"/>
                <w:bCs w:val="false"/>
                <w:sz w:val="20"/>
                <w:szCs w:val="20"/>
              </w:rPr>
              <w:t xml:space="preserve">5</w:t>
            </w:r>
          </w:p>
        </w:tc>
        <w:tc>
          <w:tcPr>
            <w:tcW w:type="dxa" w:w="3400"/>
            <w:tcMar>
              <w:top w:type="dxa" w:w="60"/>
              <w:left w:type="dxa" w:w="90"/>
              <w:bottom w:type="dxa" w:w="60"/>
              <w:right w:type="dxa" w:w="90"/>
            </w:tcMar>
          </w:tcPr>
          <w:p>
            <w:pPr>
              <w:spacing w:after="20" w:line="264" w:lineRule="auto"/>
              <w:jc w:val="both"/>
            </w:pPr>
            <w:r>
              <w:rPr>
                <w:b w:val="false"/>
                <w:bCs w:val="false"/>
                <w:sz w:val="20"/>
                <w:szCs w:val="20"/>
              </w:rPr>
              <w:t xml:space="preserve">Formación docente</w:t>
            </w:r>
          </w:p>
        </w:tc>
        <w:tc>
          <w:tcPr>
            <w:tcW w:type="dxa" w:w="3400"/>
            <w:tcMar>
              <w:top w:type="dxa" w:w="60"/>
              <w:left w:type="dxa" w:w="90"/>
              <w:bottom w:type="dxa" w:w="60"/>
              <w:right w:type="dxa" w:w="90"/>
            </w:tcMar>
          </w:tcPr>
          <w:p>
            <w:pPr>
              <w:spacing w:after="20" w:line="264" w:lineRule="auto"/>
              <w:jc w:val="both"/>
            </w:pPr>
            <w:r>
              <w:rPr>
                <w:b w:val="false"/>
                <w:bCs w:val="false"/>
                <w:sz w:val="20"/>
                <w:szCs w:val="20"/>
              </w:rPr>
              <w:t xml:space="preserve">Diplomado en IA (F6) · línea base 1.2.5</w:t>
            </w:r>
          </w:p>
        </w:tc>
        <w:tc>
          <w:tcPr>
            <w:tcW w:type="dxa" w:w="2572"/>
            <w:tcMar>
              <w:top w:type="dxa" w:w="60"/>
              <w:left w:type="dxa" w:w="90"/>
              <w:bottom w:type="dxa" w:w="60"/>
              <w:right w:type="dxa" w:w="90"/>
            </w:tcMar>
          </w:tcPr>
          <w:p>
            <w:pPr>
              <w:spacing w:after="20" w:line="264" w:lineRule="auto"/>
              <w:jc w:val="both"/>
            </w:pPr>
            <w:r>
              <w:rPr>
                <w:b w:val="false"/>
                <w:bCs w:val="false"/>
                <w:sz w:val="20"/>
                <w:szCs w:val="20"/>
              </w:rPr>
              <w:t xml:space="preserve">Rol del docente · transverso de calidad</w:t>
            </w:r>
          </w:p>
        </w:tc>
      </w:tr>
      <w:tr>
        <w:tc>
          <w:tcPr>
            <w:tcW w:type="dxa" w:w="600"/>
            <w:tcMar>
              <w:top w:type="dxa" w:w="60"/>
              <w:left w:type="dxa" w:w="90"/>
              <w:bottom w:type="dxa" w:w="60"/>
              <w:right w:type="dxa" w:w="90"/>
            </w:tcMar>
          </w:tcPr>
          <w:p>
            <w:pPr>
              <w:spacing w:after="20" w:line="264" w:lineRule="auto"/>
              <w:jc w:val="both"/>
            </w:pPr>
            <w:r>
              <w:rPr>
                <w:b w:val="false"/>
                <w:bCs w:val="false"/>
                <w:sz w:val="20"/>
                <w:szCs w:val="20"/>
              </w:rPr>
              <w:t xml:space="preserve">6</w:t>
            </w:r>
          </w:p>
        </w:tc>
        <w:tc>
          <w:tcPr>
            <w:tcW w:type="dxa" w:w="3400"/>
            <w:tcMar>
              <w:top w:type="dxa" w:w="60"/>
              <w:left w:type="dxa" w:w="90"/>
              <w:bottom w:type="dxa" w:w="60"/>
              <w:right w:type="dxa" w:w="90"/>
            </w:tcMar>
          </w:tcPr>
          <w:p>
            <w:pPr>
              <w:spacing w:after="20" w:line="264" w:lineRule="auto"/>
              <w:jc w:val="both"/>
            </w:pPr>
            <w:r>
              <w:rPr>
                <w:b w:val="false"/>
                <w:bCs w:val="false"/>
                <w:sz w:val="20"/>
                <w:szCs w:val="20"/>
              </w:rPr>
              <w:t xml:space="preserve">Transverso de calidad (indicadores digitales)</w:t>
            </w:r>
          </w:p>
        </w:tc>
        <w:tc>
          <w:tcPr>
            <w:tcW w:type="dxa" w:w="3400"/>
            <w:tcMar>
              <w:top w:type="dxa" w:w="60"/>
              <w:left w:type="dxa" w:w="90"/>
              <w:bottom w:type="dxa" w:w="60"/>
              <w:right w:type="dxa" w:w="90"/>
            </w:tcMar>
          </w:tcPr>
          <w:p>
            <w:pPr>
              <w:spacing w:after="20" w:line="264" w:lineRule="auto"/>
              <w:jc w:val="both"/>
            </w:pPr>
            <w:r>
              <w:rPr>
                <w:b w:val="false"/>
                <w:bCs w:val="false"/>
                <w:sz w:val="20"/>
                <w:szCs w:val="20"/>
              </w:rPr>
              <w:t xml:space="preserve">Competencias digitales docentes (1.2.5) · autoevaluación</w:t>
            </w:r>
          </w:p>
        </w:tc>
        <w:tc>
          <w:tcPr>
            <w:tcW w:type="dxa" w:w="2572"/>
            <w:tcMar>
              <w:top w:type="dxa" w:w="60"/>
              <w:left w:type="dxa" w:w="90"/>
              <w:bottom w:type="dxa" w:w="60"/>
              <w:right w:type="dxa" w:w="90"/>
            </w:tcMar>
          </w:tcPr>
          <w:p>
            <w:pPr>
              <w:spacing w:after="20" w:line="264" w:lineRule="auto"/>
              <w:jc w:val="both"/>
            </w:pPr>
            <w:r>
              <w:rPr>
                <w:b w:val="false"/>
                <w:bCs w:val="false"/>
                <w:sz w:val="20"/>
                <w:szCs w:val="20"/>
              </w:rPr>
              <w:t xml:space="preserve">Evaluación · seguimiento del modelo</w:t>
            </w:r>
          </w:p>
        </w:tc>
      </w:tr>
    </w:tbl>
    <w:p>
      <w:pPr>
        <w:spacing w:after="80"/>
      </w:pPr>
      <w:r>
        <w:t xml:space="preserve"/>
      </w:r>
    </w:p>
    <w:p>
      <w:pPr>
        <w:spacing w:after="120"/>
        <w:jc w:val="both"/>
      </w:pPr>
      <w:r>
        <w:rPr>
          <w:b/>
          <w:bCs/>
          <w:color w:val="1F4E79"/>
        </w:rPr>
        <w:t xml:space="preserve">Lectura. </w:t>
      </w:r>
      <w:r>
        <w:t xml:space="preserve">Los referentes normativos aportan el marco (ciudadanía, seguridad y bienestar digital); los anclajes del proyecto —Diplomado, línea transversal, línea base docente y sello de innovación— aportan la capacidad institucional. El bienestar digital, sostenido por las Leyes 2489 y 2564, es el puente entre el eje tecnológico y la dimensión socioemocional y de convivencia.</w:t>
      </w:r>
    </w:p>
    <w:p>
      <w:pPr>
        <w:pStyle w:val="Heading1"/>
      </w:pPr>
      <w:r>
        <w:t xml:space="preserve">A.3 Principios del enfoque tecnopedagógico</w:t>
      </w:r>
    </w:p>
    <w:p>
      <w:pPr>
        <w:spacing w:after="120"/>
        <w:jc w:val="both"/>
      </w:pPr>
      <w:r>
        <w:t xml:space="preserve">Cinco principios orientan la mediación tecnológica del modelo:</w:t>
      </w:r>
    </w:p>
    <w:p>
      <w:pPr>
        <w:pStyle w:val="ListParagraph"/>
        <w:numPr>
          <w:ilvl w:val="0"/>
          <w:numId w:val="2"/>
        </w:numPr>
        <w:spacing w:after="60"/>
        <w:jc w:val="both"/>
      </w:pPr>
      <w:r>
        <w:rPr>
          <w:b/>
          <w:bCs/>
        </w:rPr>
        <w:t xml:space="preserve">Servicio al desarrollo integral. </w:t>
      </w:r>
      <w:r>
        <w:t xml:space="preserve">La tecnología está al servicio del desarrollo integral de la persona; nunca es un fin en sí misma. Este principio, además, es el valor que los propios docentes reconocen con más fuerza en la línea base.</w:t>
      </w:r>
    </w:p>
    <w:p>
      <w:pPr>
        <w:pStyle w:val="ListParagraph"/>
        <w:numPr>
          <w:ilvl w:val="0"/>
          <w:numId w:val="2"/>
        </w:numPr>
        <w:spacing w:after="60"/>
        <w:jc w:val="both"/>
      </w:pPr>
      <w:r>
        <w:rPr>
          <w:b/>
          <w:bCs/>
        </w:rPr>
        <w:t xml:space="preserve">Mediación, no sustitución. </w:t>
      </w:r>
      <w:r>
        <w:t xml:space="preserve">La inteligencia artificial y las TIC son medios de mediación pedagógica del docente, orientados por criterios de uso seguro y pedagógico (Directiva MEN 01/2026), no sustitutos de la relación educativa.</w:t>
      </w:r>
    </w:p>
    <w:p>
      <w:pPr>
        <w:pStyle w:val="ListParagraph"/>
        <w:numPr>
          <w:ilvl w:val="0"/>
          <w:numId w:val="2"/>
        </w:numPr>
        <w:spacing w:after="60"/>
        <w:jc w:val="both"/>
      </w:pPr>
      <w:r>
        <w:rPr>
          <w:b/>
          <w:bCs/>
        </w:rPr>
        <w:t xml:space="preserve">Pensamiento computacional y cultura de datos. </w:t>
      </w:r>
      <w:r>
        <w:t xml:space="preserve">El estudiante desarrolla la capacidad de descomponer problemas, reconocer patrones, abstraer y algoritmizar, y de entender los datos como una forma de leer y representar la realidad.</w:t>
      </w:r>
    </w:p>
    <w:p>
      <w:pPr>
        <w:pStyle w:val="ListParagraph"/>
        <w:numPr>
          <w:ilvl w:val="0"/>
          <w:numId w:val="2"/>
        </w:numPr>
        <w:spacing w:after="60"/>
        <w:jc w:val="both"/>
      </w:pPr>
      <w:r>
        <w:rPr>
          <w:b/>
          <w:bCs/>
        </w:rPr>
        <w:t xml:space="preserve">Inteligencia artificial con criterio. </w:t>
      </w:r>
      <w:r>
        <w:t xml:space="preserve">La IA se aborda como objeto de estudio (qué es y cómo funciona) y como herramienta, siempre bajo criterio crítico: verificar, contrastar y detectar sesgos y errores.</w:t>
      </w:r>
    </w:p>
    <w:p>
      <w:pPr>
        <w:pStyle w:val="ListParagraph"/>
        <w:numPr>
          <w:ilvl w:val="0"/>
          <w:numId w:val="2"/>
        </w:numPr>
        <w:spacing w:after="60"/>
        <w:jc w:val="both"/>
      </w:pPr>
      <w:r>
        <w:rPr>
          <w:b/>
          <w:bCs/>
        </w:rPr>
        <w:t xml:space="preserve">Uso ético, crítico y seguro. </w:t>
      </w:r>
      <w:r>
        <w:t xml:space="preserve">Todo uso se enmarca en la ciudadanía y el bienestar digital: seguridad, cuidado, respeto y prevención (Leyes 2489/2025 y 2564/2026).</w:t>
      </w:r>
    </w:p>
    <w:p>
      <w:pPr>
        <w:pStyle w:val="Heading1"/>
      </w:pPr>
      <w:r>
        <w:t xml:space="preserve">A.4 El hilo conductor: la progresión de la innovación por ciclos</w:t>
      </w:r>
    </w:p>
    <w:p>
      <w:pPr>
        <w:spacing w:after="120"/>
        <w:jc w:val="both"/>
      </w:pPr>
      <w:r>
        <w:t xml:space="preserve">El rasgo distintivo del componente es que la innovación no se concentra en un grado ni en un área: es un hilo conductor que atraviesa toda la trayectoria escolar, desde el preescolar, de manera acumulativa y en espiral. Cada ciclo retoma y profundiza lo anterior y siembra lo siguiente, de modo que el tránsito a la media técnica sea fluido y con sentido.</w:t>
      </w:r>
    </w:p>
    <w:p>
      <w:pPr>
        <w:pStyle w:val="Heading2"/>
      </w:pPr>
      <w:r>
        <w:t xml:space="preserve">A.4.1 Doble propósito: para todos y para algunos</w:t>
      </w:r>
    </w:p>
    <w:p>
      <w:pPr>
        <w:spacing w:after="120"/>
        <w:jc w:val="both"/>
      </w:pPr>
      <w:r>
        <w:rPr>
          <w:b/>
          <w:bCs/>
          <w:color w:val="1F4E79"/>
        </w:rPr>
        <w:t xml:space="preserve">Para todos. </w:t>
      </w:r>
      <w:r>
        <w:t xml:space="preserve">El hilo forma en todos los estudiantes la alfabetización propia de la Cuarta Revolución Industrial: pensamiento computacional, cultura de datos, comprensión de la inteligencia artificial y ciudadanía digital. Esta base les permite comprender el mundo tecnológico e insertarse en él de manera productiva, con independencia del camino que elijan.</w:t>
      </w:r>
    </w:p>
    <w:p>
      <w:pPr>
        <w:spacing w:after="120"/>
        <w:jc w:val="both"/>
      </w:pPr>
      <w:r>
        <w:rPr>
          <w:b/>
          <w:bCs/>
          <w:color w:val="1F4E79"/>
        </w:rPr>
        <w:t xml:space="preserve">Para algunos. </w:t>
      </w:r>
      <w:r>
        <w:t xml:space="preserve">Sobre esa base común, la media técnica ofrece una especialización a quienes opten por ella. La analítica de datos es la cima visible del hilo, no su único propósito: la trayectoria forma a todos y especializa a quienes la cursen.</w:t>
      </w:r>
    </w:p>
    <w:p>
      <w:pPr>
        <w:pStyle w:val="Heading2"/>
      </w:pPr>
      <w:r>
        <w:t xml:space="preserve">A.4.2 Destino del hilo: la media técnica en Programación para Analítica de Datos</w:t>
      </w:r>
    </w:p>
    <w:p>
      <w:pPr>
        <w:spacing w:after="120"/>
        <w:jc w:val="both"/>
      </w:pPr>
      <w:r>
        <w:t xml:space="preserve">La institución ha acogido la recomendación de EICIT de orientar la media técnica hacia la Programación para Analítica de Datos, opción confirmada como factible por el CIDE del SENA en Soacha. Esta denominación da dirección al hilo: las capacidades que se siembran desde el preescolar —lógica, representación de información, pensamiento algorítmico, sentido del dato y criterio frente a la IA— convergen y se profundizan en la media. La articulación con el SENA y la modificación de licencia asociada corren como línea paralela, con sus propios tiempos, y no son objeto de este documento.</w:t>
      </w:r>
    </w:p>
    <w:p>
      <w:pPr>
        <w:pStyle w:val="Heading2"/>
      </w:pPr>
      <w:r>
        <w:t xml:space="preserve">A.4.3 Mapa de progresión por ciclos (nivel de capacidades)</w:t>
      </w:r>
    </w:p>
    <w:p>
      <w:pPr>
        <w:spacing w:after="120"/>
        <w:jc w:val="both"/>
      </w:pPr>
      <w:r>
        <w:t xml:space="preserve">El siguiente mapa declara, para cada ciclo, el foco de capacidad, su sentido salesiano y su aporte a la ruta hacia la analítica de datos. Es un mapa de capacidades y focos, no de contenidos: la traducción a contenidos, estándares e intensidad horaria grado a grado corresponde a la Fase 4.</w:t>
      </w:r>
    </w:p>
    <w:tbl>
      <w:tblPr>
        <w:tblW w:type="dxa" w:w="9972"/>
        <w:tblBorders>
          <w:top w:val="single" w:color="2E75B6" w:sz="4"/>
          <w:left w:val="single" w:color="2E75B6" w:sz="4"/>
          <w:bottom w:val="single" w:color="2E75B6" w:sz="4"/>
          <w:right w:val="single" w:color="2E75B6" w:sz="4"/>
          <w:insideH w:val="single" w:color="BFBFBF" w:sz="3"/>
          <w:insideV w:val="single" w:color="BFBFBF" w:sz="3"/>
        </w:tblBorders>
      </w:tblPr>
      <w:tblGrid>
        <w:gridCol w:w="1900"/>
        <w:gridCol w:w="3600"/>
        <w:gridCol w:w="2000"/>
        <w:gridCol w:w="2472"/>
      </w:tblGrid>
      <w:tr>
        <w:trPr>
          <w:tblHeader/>
        </w:trPr>
        <w:tc>
          <w:tcPr>
            <w:tcW w:type="dxa" w:w="1900"/>
            <w:shd w:fill="D5E8F0" w:color="auto" w:val="clear"/>
            <w:tcMar>
              <w:top w:type="dxa" w:w="60"/>
              <w:left w:type="dxa" w:w="90"/>
              <w:bottom w:type="dxa" w:w="60"/>
              <w:right w:type="dxa" w:w="90"/>
            </w:tcMar>
          </w:tcPr>
          <w:p>
            <w:pPr>
              <w:spacing w:after="20" w:line="264" w:lineRule="auto"/>
              <w:jc w:val="left"/>
            </w:pPr>
            <w:r>
              <w:rPr>
                <w:b/>
                <w:bCs/>
                <w:color w:val="1F4E79"/>
                <w:sz w:val="20"/>
                <w:szCs w:val="20"/>
              </w:rPr>
              <w:t xml:space="preserve">Ciclo</w:t>
            </w:r>
          </w:p>
        </w:tc>
        <w:tc>
          <w:tcPr>
            <w:tcW w:type="dxa" w:w="3600"/>
            <w:shd w:fill="D5E8F0" w:color="auto" w:val="clear"/>
            <w:tcMar>
              <w:top w:type="dxa" w:w="60"/>
              <w:left w:type="dxa" w:w="90"/>
              <w:bottom w:type="dxa" w:w="60"/>
              <w:right w:type="dxa" w:w="90"/>
            </w:tcMar>
          </w:tcPr>
          <w:p>
            <w:pPr>
              <w:spacing w:after="20" w:line="264" w:lineRule="auto"/>
              <w:jc w:val="left"/>
            </w:pPr>
            <w:r>
              <w:rPr>
                <w:b/>
                <w:bCs/>
                <w:color w:val="1F4E79"/>
                <w:sz w:val="20"/>
                <w:szCs w:val="20"/>
              </w:rPr>
              <w:t xml:space="preserve">Foco de capacidad (qué se desarrolla)</w:t>
            </w:r>
          </w:p>
        </w:tc>
        <w:tc>
          <w:tcPr>
            <w:tcW w:type="dxa" w:w="2000"/>
            <w:shd w:fill="D5E8F0" w:color="auto" w:val="clear"/>
            <w:tcMar>
              <w:top w:type="dxa" w:w="60"/>
              <w:left w:type="dxa" w:w="90"/>
              <w:bottom w:type="dxa" w:w="60"/>
              <w:right w:type="dxa" w:w="90"/>
            </w:tcMar>
          </w:tcPr>
          <w:p>
            <w:pPr>
              <w:spacing w:after="20" w:line="264" w:lineRule="auto"/>
              <w:jc w:val="left"/>
            </w:pPr>
            <w:r>
              <w:rPr>
                <w:b/>
                <w:bCs/>
                <w:color w:val="1F4E79"/>
                <w:sz w:val="20"/>
                <w:szCs w:val="20"/>
              </w:rPr>
              <w:t xml:space="preserve">Sentido salesiano</w:t>
            </w:r>
          </w:p>
        </w:tc>
        <w:tc>
          <w:tcPr>
            <w:tcW w:type="dxa" w:w="2472"/>
            <w:shd w:fill="D5E8F0" w:color="auto" w:val="clear"/>
            <w:tcMar>
              <w:top w:type="dxa" w:w="60"/>
              <w:left w:type="dxa" w:w="90"/>
              <w:bottom w:type="dxa" w:w="60"/>
              <w:right w:type="dxa" w:w="90"/>
            </w:tcMar>
          </w:tcPr>
          <w:p>
            <w:pPr>
              <w:spacing w:after="20" w:line="264" w:lineRule="auto"/>
              <w:jc w:val="left"/>
            </w:pPr>
            <w:r>
              <w:rPr>
                <w:b/>
                <w:bCs/>
                <w:color w:val="1F4E79"/>
                <w:sz w:val="20"/>
                <w:szCs w:val="20"/>
              </w:rPr>
              <w:t xml:space="preserve">Aporte a la ruta de analítica de datos</w:t>
            </w:r>
          </w:p>
        </w:tc>
      </w:tr>
      <w:tr>
        <w:trPr>
          <w:cantSplit/>
        </w:trPr>
        <w:tc>
          <w:tcPr>
            <w:tcW w:type="dxa" w:w="1900"/>
            <w:shd w:fill="D5E8F0" w:color="auto" w:val="clear"/>
            <w:tcMar>
              <w:top w:type="dxa" w:w="60"/>
              <w:left w:type="dxa" w:w="90"/>
              <w:bottom w:type="dxa" w:w="60"/>
              <w:right w:type="dxa" w:w="90"/>
            </w:tcMar>
          </w:tcPr>
          <w:p>
            <w:pPr>
              <w:spacing w:after="20" w:line="264" w:lineRule="auto"/>
              <w:jc w:val="both"/>
            </w:pPr>
            <w:r>
              <w:rPr>
                <w:b/>
                <w:bCs/>
                <w:sz w:val="20"/>
                <w:szCs w:val="20"/>
              </w:rPr>
              <w:t xml:space="preserve">Preescolar y transición</w:t>
            </w:r>
          </w:p>
        </w:tc>
        <w:tc>
          <w:tcPr>
            <w:tcW w:type="dxa" w:w="3600"/>
            <w:tcMar>
              <w:top w:type="dxa" w:w="60"/>
              <w:left w:type="dxa" w:w="90"/>
              <w:bottom w:type="dxa" w:w="60"/>
              <w:right w:type="dxa" w:w="90"/>
            </w:tcMar>
          </w:tcPr>
          <w:p>
            <w:pPr>
              <w:spacing w:after="20" w:line="264" w:lineRule="auto"/>
              <w:jc w:val="both"/>
            </w:pPr>
            <w:r>
              <w:rPr>
                <w:b w:val="false"/>
                <w:bCs w:val="false"/>
                <w:sz w:val="20"/>
                <w:szCs w:val="20"/>
              </w:rPr>
              <w:t xml:space="preserve">Pensamiento computacional desenchufado: patrones, secuencias, clasificación; curiosidad guiada; nociones de orden y representación mediante el juego y la exploración.</w:t>
            </w:r>
          </w:p>
        </w:tc>
        <w:tc>
          <w:tcPr>
            <w:tcW w:type="dxa" w:w="2000"/>
            <w:tcMar>
              <w:top w:type="dxa" w:w="60"/>
              <w:left w:type="dxa" w:w="90"/>
              <w:bottom w:type="dxa" w:w="60"/>
              <w:right w:type="dxa" w:w="90"/>
            </w:tcMar>
          </w:tcPr>
          <w:p>
            <w:pPr>
              <w:spacing w:after="20" w:line="264" w:lineRule="auto"/>
              <w:jc w:val="both"/>
            </w:pPr>
            <w:r>
              <w:rPr>
                <w:b w:val="false"/>
                <w:bCs w:val="false"/>
                <w:sz w:val="20"/>
                <w:szCs w:val="20"/>
              </w:rPr>
              <w:t xml:space="preserve">El asombro y la alegría del patio; aprender jugando en un ambiente de confianza.</w:t>
            </w:r>
          </w:p>
        </w:tc>
        <w:tc>
          <w:tcPr>
            <w:tcW w:type="dxa" w:w="2472"/>
            <w:tcMar>
              <w:top w:type="dxa" w:w="60"/>
              <w:left w:type="dxa" w:w="90"/>
              <w:bottom w:type="dxa" w:w="60"/>
              <w:right w:type="dxa" w:w="90"/>
            </w:tcMar>
          </w:tcPr>
          <w:p>
            <w:pPr>
              <w:spacing w:after="20" w:line="264" w:lineRule="auto"/>
              <w:jc w:val="both"/>
            </w:pPr>
            <w:r>
              <w:rPr>
                <w:b w:val="false"/>
                <w:bCs w:val="false"/>
                <w:sz w:val="20"/>
                <w:szCs w:val="20"/>
              </w:rPr>
              <w:t xml:space="preserve">Germen de la noción de «dato»: contar, ordenar y agrupar; primeras experiencias de lógica.</w:t>
            </w:r>
          </w:p>
        </w:tc>
      </w:tr>
      <w:tr>
        <w:trPr>
          <w:cantSplit/>
        </w:trPr>
        <w:tc>
          <w:tcPr>
            <w:tcW w:type="dxa" w:w="1900"/>
            <w:shd w:fill="D5E8F0" w:color="auto" w:val="clear"/>
            <w:tcMar>
              <w:top w:type="dxa" w:w="60"/>
              <w:left w:type="dxa" w:w="90"/>
              <w:bottom w:type="dxa" w:w="60"/>
              <w:right w:type="dxa" w:w="90"/>
            </w:tcMar>
          </w:tcPr>
          <w:p>
            <w:pPr>
              <w:spacing w:after="20" w:line="264" w:lineRule="auto"/>
              <w:jc w:val="both"/>
            </w:pPr>
            <w:r>
              <w:rPr>
                <w:b/>
                <w:bCs/>
                <w:sz w:val="20"/>
                <w:szCs w:val="20"/>
              </w:rPr>
              <w:t xml:space="preserve">Básica primaria (1.º–3.º)</w:t>
            </w:r>
          </w:p>
        </w:tc>
        <w:tc>
          <w:tcPr>
            <w:tcW w:type="dxa" w:w="3600"/>
            <w:tcMar>
              <w:top w:type="dxa" w:w="60"/>
              <w:left w:type="dxa" w:w="90"/>
              <w:bottom w:type="dxa" w:w="60"/>
              <w:right w:type="dxa" w:w="90"/>
            </w:tcMar>
          </w:tcPr>
          <w:p>
            <w:pPr>
              <w:spacing w:after="20" w:line="264" w:lineRule="auto"/>
              <w:jc w:val="both"/>
            </w:pPr>
            <w:r>
              <w:rPr>
                <w:b w:val="false"/>
                <w:bCs w:val="false"/>
                <w:sz w:val="20"/>
                <w:szCs w:val="20"/>
              </w:rPr>
              <w:t xml:space="preserve">Lógica y secuencias, algoritmos sencillos, representación de información (pictogramas, tablas simples); alfabetización digital inicial y convivencia digital básica.</w:t>
            </w:r>
          </w:p>
        </w:tc>
        <w:tc>
          <w:tcPr>
            <w:tcW w:type="dxa" w:w="2000"/>
            <w:tcMar>
              <w:top w:type="dxa" w:w="60"/>
              <w:left w:type="dxa" w:w="90"/>
              <w:bottom w:type="dxa" w:w="60"/>
              <w:right w:type="dxa" w:w="90"/>
            </w:tcMar>
          </w:tcPr>
          <w:p>
            <w:pPr>
              <w:spacing w:after="20" w:line="264" w:lineRule="auto"/>
              <w:jc w:val="both"/>
            </w:pPr>
            <w:r>
              <w:rPr>
                <w:b w:val="false"/>
                <w:bCs w:val="false"/>
                <w:sz w:val="20"/>
                <w:szCs w:val="20"/>
              </w:rPr>
              <w:t xml:space="preserve">Buenos hábitos y cuidado de sí y de los otros; amabilidad como trato cotidiano.</w:t>
            </w:r>
          </w:p>
        </w:tc>
        <w:tc>
          <w:tcPr>
            <w:tcW w:type="dxa" w:w="2472"/>
            <w:tcMar>
              <w:top w:type="dxa" w:w="60"/>
              <w:left w:type="dxa" w:w="90"/>
              <w:bottom w:type="dxa" w:w="60"/>
              <w:right w:type="dxa" w:w="90"/>
            </w:tcMar>
          </w:tcPr>
          <w:p>
            <w:pPr>
              <w:spacing w:after="20" w:line="264" w:lineRule="auto"/>
              <w:jc w:val="both"/>
            </w:pPr>
            <w:r>
              <w:rPr>
                <w:b w:val="false"/>
                <w:bCs w:val="false"/>
                <w:sz w:val="20"/>
                <w:szCs w:val="20"/>
              </w:rPr>
              <w:t xml:space="preserve">El dato como representación del mundo; recolección y organización simples.</w:t>
            </w:r>
          </w:p>
        </w:tc>
      </w:tr>
      <w:tr>
        <w:trPr>
          <w:cantSplit/>
        </w:trPr>
        <w:tc>
          <w:tcPr>
            <w:tcW w:type="dxa" w:w="1900"/>
            <w:shd w:fill="D5E8F0" w:color="auto" w:val="clear"/>
            <w:tcMar>
              <w:top w:type="dxa" w:w="60"/>
              <w:left w:type="dxa" w:w="90"/>
              <w:bottom w:type="dxa" w:w="60"/>
              <w:right w:type="dxa" w:w="90"/>
            </w:tcMar>
          </w:tcPr>
          <w:p>
            <w:pPr>
              <w:spacing w:after="20" w:line="264" w:lineRule="auto"/>
              <w:jc w:val="both"/>
            </w:pPr>
            <w:r>
              <w:rPr>
                <w:b/>
                <w:bCs/>
                <w:sz w:val="20"/>
                <w:szCs w:val="20"/>
              </w:rPr>
              <w:t xml:space="preserve">Básica primaria (4.º–5.º)</w:t>
            </w:r>
          </w:p>
        </w:tc>
        <w:tc>
          <w:tcPr>
            <w:tcW w:type="dxa" w:w="3600"/>
            <w:tcMar>
              <w:top w:type="dxa" w:w="60"/>
              <w:left w:type="dxa" w:w="90"/>
              <w:bottom w:type="dxa" w:w="60"/>
              <w:right w:type="dxa" w:w="90"/>
            </w:tcMar>
          </w:tcPr>
          <w:p>
            <w:pPr>
              <w:spacing w:after="20" w:line="264" w:lineRule="auto"/>
              <w:jc w:val="both"/>
            </w:pPr>
            <w:r>
              <w:rPr>
                <w:b w:val="false"/>
                <w:bCs w:val="false"/>
                <w:sz w:val="20"/>
                <w:szCs w:val="20"/>
              </w:rPr>
              <w:t xml:space="preserve">Pensamiento algorítmico y programación por bloques inicial; lectura de datos en gráficos; creación digital guiada; seguridad y ciudadanía digital.</w:t>
            </w:r>
          </w:p>
        </w:tc>
        <w:tc>
          <w:tcPr>
            <w:tcW w:type="dxa" w:w="2000"/>
            <w:tcMar>
              <w:top w:type="dxa" w:w="60"/>
              <w:left w:type="dxa" w:w="90"/>
              <w:bottom w:type="dxa" w:w="60"/>
              <w:right w:type="dxa" w:w="90"/>
            </w:tcMar>
          </w:tcPr>
          <w:p>
            <w:pPr>
              <w:spacing w:after="20" w:line="264" w:lineRule="auto"/>
              <w:jc w:val="both"/>
            </w:pPr>
            <w:r>
              <w:rPr>
                <w:b w:val="false"/>
                <w:bCs w:val="false"/>
                <w:sz w:val="20"/>
                <w:szCs w:val="20"/>
              </w:rPr>
              <w:t xml:space="preserve">Honradez y responsabilidad en el uso; razón que da sentido a lo que se hace.</w:t>
            </w:r>
          </w:p>
        </w:tc>
        <w:tc>
          <w:tcPr>
            <w:tcW w:type="dxa" w:w="2472"/>
            <w:tcMar>
              <w:top w:type="dxa" w:w="60"/>
              <w:left w:type="dxa" w:w="90"/>
              <w:bottom w:type="dxa" w:w="60"/>
              <w:right w:type="dxa" w:w="90"/>
            </w:tcMar>
          </w:tcPr>
          <w:p>
            <w:pPr>
              <w:spacing w:after="20" w:line="264" w:lineRule="auto"/>
              <w:jc w:val="both"/>
            </w:pPr>
            <w:r>
              <w:rPr>
                <w:b w:val="false"/>
                <w:bCs w:val="false"/>
                <w:sz w:val="20"/>
                <w:szCs w:val="20"/>
              </w:rPr>
              <w:t xml:space="preserve">Leer e interpretar datos; formular las primeras preguntas a los datos.</w:t>
            </w:r>
          </w:p>
        </w:tc>
      </w:tr>
      <w:tr>
        <w:trPr>
          <w:cantSplit/>
        </w:trPr>
        <w:tc>
          <w:tcPr>
            <w:tcW w:type="dxa" w:w="1900"/>
            <w:shd w:fill="D5E8F0" w:color="auto" w:val="clear"/>
            <w:tcMar>
              <w:top w:type="dxa" w:w="60"/>
              <w:left w:type="dxa" w:w="90"/>
              <w:bottom w:type="dxa" w:w="60"/>
              <w:right w:type="dxa" w:w="90"/>
            </w:tcMar>
          </w:tcPr>
          <w:p>
            <w:pPr>
              <w:spacing w:after="20" w:line="264" w:lineRule="auto"/>
              <w:jc w:val="both"/>
            </w:pPr>
            <w:r>
              <w:rPr>
                <w:b/>
                <w:bCs/>
                <w:sz w:val="20"/>
                <w:szCs w:val="20"/>
              </w:rPr>
              <w:t xml:space="preserve">Básica secundaria (6.º–7.º)</w:t>
            </w:r>
          </w:p>
        </w:tc>
        <w:tc>
          <w:tcPr>
            <w:tcW w:type="dxa" w:w="3600"/>
            <w:tcMar>
              <w:top w:type="dxa" w:w="60"/>
              <w:left w:type="dxa" w:w="90"/>
              <w:bottom w:type="dxa" w:w="60"/>
              <w:right w:type="dxa" w:w="90"/>
            </w:tcMar>
          </w:tcPr>
          <w:p>
            <w:pPr>
              <w:spacing w:after="20" w:line="264" w:lineRule="auto"/>
              <w:jc w:val="both"/>
            </w:pPr>
            <w:r>
              <w:rPr>
                <w:b w:val="false"/>
                <w:bCs w:val="false"/>
                <w:sz w:val="20"/>
                <w:szCs w:val="20"/>
              </w:rPr>
              <w:t xml:space="preserve">Transición de bloques a programación textual; pensamiento computacional aplicado; datos con propósito (recolección, tablas, gráficos); IA como objeto de estudio; huella y ética digital.</w:t>
            </w:r>
          </w:p>
        </w:tc>
        <w:tc>
          <w:tcPr>
            <w:tcW w:type="dxa" w:w="2000"/>
            <w:tcMar>
              <w:top w:type="dxa" w:w="60"/>
              <w:left w:type="dxa" w:w="90"/>
              <w:bottom w:type="dxa" w:w="60"/>
              <w:right w:type="dxa" w:w="90"/>
            </w:tcMar>
          </w:tcPr>
          <w:p>
            <w:pPr>
              <w:spacing w:after="20" w:line="264" w:lineRule="auto"/>
              <w:jc w:val="both"/>
            </w:pPr>
            <w:r>
              <w:rPr>
                <w:b w:val="false"/>
                <w:bCs w:val="false"/>
                <w:sz w:val="20"/>
                <w:szCs w:val="20"/>
              </w:rPr>
              <w:t xml:space="preserve">Discernimiento y cuidado de la casa común; presencia acompañante del educador.</w:t>
            </w:r>
          </w:p>
        </w:tc>
        <w:tc>
          <w:tcPr>
            <w:tcW w:type="dxa" w:w="2472"/>
            <w:tcMar>
              <w:top w:type="dxa" w:w="60"/>
              <w:left w:type="dxa" w:w="90"/>
              <w:bottom w:type="dxa" w:w="60"/>
              <w:right w:type="dxa" w:w="90"/>
            </w:tcMar>
          </w:tcPr>
          <w:p>
            <w:pPr>
              <w:spacing w:after="20" w:line="264" w:lineRule="auto"/>
              <w:jc w:val="both"/>
            </w:pPr>
            <w:r>
              <w:rPr>
                <w:b w:val="false"/>
                <w:bCs w:val="false"/>
                <w:sz w:val="20"/>
                <w:szCs w:val="20"/>
              </w:rPr>
              <w:t xml:space="preserve">Formular preguntas y organizar datos para responderlas.</w:t>
            </w:r>
          </w:p>
        </w:tc>
      </w:tr>
      <w:tr>
        <w:trPr>
          <w:cantSplit/>
        </w:trPr>
        <w:tc>
          <w:tcPr>
            <w:tcW w:type="dxa" w:w="1900"/>
            <w:shd w:fill="D5E8F0" w:color="auto" w:val="clear"/>
            <w:tcMar>
              <w:top w:type="dxa" w:w="60"/>
              <w:left w:type="dxa" w:w="90"/>
              <w:bottom w:type="dxa" w:w="60"/>
              <w:right w:type="dxa" w:w="90"/>
            </w:tcMar>
          </w:tcPr>
          <w:p>
            <w:pPr>
              <w:spacing w:after="20" w:line="264" w:lineRule="auto"/>
              <w:jc w:val="both"/>
            </w:pPr>
            <w:r>
              <w:rPr>
                <w:b/>
                <w:bCs/>
                <w:sz w:val="20"/>
                <w:szCs w:val="20"/>
              </w:rPr>
              <w:t xml:space="preserve">Básica secundaria (8.º–9.º)</w:t>
            </w:r>
          </w:p>
        </w:tc>
        <w:tc>
          <w:tcPr>
            <w:tcW w:type="dxa" w:w="3600"/>
            <w:tcMar>
              <w:top w:type="dxa" w:w="60"/>
              <w:left w:type="dxa" w:w="90"/>
              <w:bottom w:type="dxa" w:w="60"/>
              <w:right w:type="dxa" w:w="90"/>
            </w:tcMar>
          </w:tcPr>
          <w:p>
            <w:pPr>
              <w:spacing w:after="20" w:line="264" w:lineRule="auto"/>
              <w:jc w:val="both"/>
            </w:pPr>
            <w:r>
              <w:rPr>
                <w:b w:val="false"/>
                <w:bCs w:val="false"/>
                <w:sz w:val="20"/>
                <w:szCs w:val="20"/>
              </w:rPr>
              <w:t xml:space="preserve">Programación textual; fundamentos de datos y estadística escolar con sentido; IA como herramienta y su análisis crítico (sesgos, «alucinaciones»); proyectos con datos del contexto de Soacha; ciudadanía digital plena.</w:t>
            </w:r>
          </w:p>
        </w:tc>
        <w:tc>
          <w:tcPr>
            <w:tcW w:type="dxa" w:w="2000"/>
            <w:tcMar>
              <w:top w:type="dxa" w:w="60"/>
              <w:left w:type="dxa" w:w="90"/>
              <w:bottom w:type="dxa" w:w="60"/>
              <w:right w:type="dxa" w:w="90"/>
            </w:tcMar>
          </w:tcPr>
          <w:p>
            <w:pPr>
              <w:spacing w:after="20" w:line="264" w:lineRule="auto"/>
              <w:jc w:val="both"/>
            </w:pPr>
            <w:r>
              <w:rPr>
                <w:b w:val="false"/>
                <w:bCs w:val="false"/>
                <w:sz w:val="20"/>
                <w:szCs w:val="20"/>
              </w:rPr>
              <w:t xml:space="preserve">Pensamiento crítico y servicio; razón y amabilidad en la convivencia digital.</w:t>
            </w:r>
          </w:p>
        </w:tc>
        <w:tc>
          <w:tcPr>
            <w:tcW w:type="dxa" w:w="2472"/>
            <w:tcMar>
              <w:top w:type="dxa" w:w="60"/>
              <w:left w:type="dxa" w:w="90"/>
              <w:bottom w:type="dxa" w:w="60"/>
              <w:right w:type="dxa" w:w="90"/>
            </w:tcMar>
          </w:tcPr>
          <w:p>
            <w:pPr>
              <w:spacing w:after="20" w:line="264" w:lineRule="auto"/>
              <w:jc w:val="both"/>
            </w:pPr>
            <w:r>
              <w:rPr>
                <w:b w:val="false"/>
                <w:bCs w:val="false"/>
                <w:sz w:val="20"/>
                <w:szCs w:val="20"/>
              </w:rPr>
              <w:t xml:space="preserve">Análisis básico de datos y proyectos; base directa de la media técnica.</w:t>
            </w:r>
          </w:p>
        </w:tc>
      </w:tr>
      <w:tr>
        <w:trPr>
          <w:cantSplit/>
        </w:trPr>
        <w:tc>
          <w:tcPr>
            <w:tcW w:type="dxa" w:w="1900"/>
            <w:shd w:fill="D5E8F0" w:color="auto" w:val="clear"/>
            <w:tcMar>
              <w:top w:type="dxa" w:w="60"/>
              <w:left w:type="dxa" w:w="90"/>
              <w:bottom w:type="dxa" w:w="60"/>
              <w:right w:type="dxa" w:w="90"/>
            </w:tcMar>
          </w:tcPr>
          <w:p>
            <w:pPr>
              <w:spacing w:after="20" w:line="264" w:lineRule="auto"/>
              <w:jc w:val="both"/>
            </w:pPr>
            <w:r>
              <w:rPr>
                <w:b/>
                <w:bCs/>
                <w:sz w:val="20"/>
                <w:szCs w:val="20"/>
              </w:rPr>
              <w:t xml:space="preserve">Media (10.º–11.º) — media técnica</w:t>
            </w:r>
          </w:p>
        </w:tc>
        <w:tc>
          <w:tcPr>
            <w:tcW w:type="dxa" w:w="3600"/>
            <w:tcMar>
              <w:top w:type="dxa" w:w="60"/>
              <w:left w:type="dxa" w:w="90"/>
              <w:bottom w:type="dxa" w:w="60"/>
              <w:right w:type="dxa" w:w="90"/>
            </w:tcMar>
          </w:tcPr>
          <w:p>
            <w:pPr>
              <w:spacing w:after="20" w:line="264" w:lineRule="auto"/>
              <w:jc w:val="both"/>
            </w:pPr>
            <w:r>
              <w:rPr>
                <w:b w:val="false"/>
                <w:bCs w:val="false"/>
                <w:sz w:val="20"/>
                <w:szCs w:val="20"/>
              </w:rPr>
              <w:t xml:space="preserve">Profundización en programación para analítica de datos (articulación SENA): manejo de datos reales, visualización, criterio frente a la IA y proyecto integrador con impacto social.</w:t>
            </w:r>
          </w:p>
        </w:tc>
        <w:tc>
          <w:tcPr>
            <w:tcW w:type="dxa" w:w="2000"/>
            <w:tcMar>
              <w:top w:type="dxa" w:w="60"/>
              <w:left w:type="dxa" w:w="90"/>
              <w:bottom w:type="dxa" w:w="60"/>
              <w:right w:type="dxa" w:w="90"/>
            </w:tcMar>
          </w:tcPr>
          <w:p>
            <w:pPr>
              <w:spacing w:after="20" w:line="264" w:lineRule="auto"/>
              <w:jc w:val="both"/>
            </w:pPr>
            <w:r>
              <w:rPr>
                <w:b w:val="false"/>
                <w:bCs w:val="false"/>
                <w:sz w:val="20"/>
                <w:szCs w:val="20"/>
              </w:rPr>
              <w:t xml:space="preserve">El «honesto ciudadano» que sirve con la tecnología; proyecto de vida.</w:t>
            </w:r>
          </w:p>
        </w:tc>
        <w:tc>
          <w:tcPr>
            <w:tcW w:type="dxa" w:w="2472"/>
            <w:tcMar>
              <w:top w:type="dxa" w:w="60"/>
              <w:left w:type="dxa" w:w="90"/>
              <w:bottom w:type="dxa" w:w="60"/>
              <w:right w:type="dxa" w:w="90"/>
            </w:tcMar>
          </w:tcPr>
          <w:p>
            <w:pPr>
              <w:spacing w:after="20" w:line="264" w:lineRule="auto"/>
              <w:jc w:val="both"/>
            </w:pPr>
            <w:r>
              <w:rPr>
                <w:b w:val="false"/>
                <w:bCs w:val="false"/>
                <w:sz w:val="20"/>
                <w:szCs w:val="20"/>
              </w:rPr>
              <w:t xml:space="preserve">La cima del hilo: competencias técnicas de analítica de datos articuladas al SENA.</w:t>
            </w:r>
          </w:p>
        </w:tc>
      </w:tr>
    </w:tbl>
    <w:p>
      <w:pPr>
        <w:pStyle w:val="Heading2"/>
      </w:pPr>
      <w:r>
        <w:t xml:space="preserve">A.4.4 Frontera de alcance: qué construye la Fase 4</w:t>
      </w:r>
    </w:p>
    <w:p>
      <w:pPr>
        <w:spacing w:after="120"/>
        <w:jc w:val="both"/>
      </w:pPr>
      <w:r>
        <w:t xml:space="preserve">Para preservar el candado, se explicita la frontera. El modelo (esta tarea) declara el hilo, su lógica de progresión, sus focos por ciclo y su destino. La Fase 4 construye el currículo: la arquitectura del plan de estudios y el equilibrio 80/20 se definen en la Tarea 1.5.1, y la Tarea 1.5.4 desarrolla la línea transversal de Tecnología e Innovación —contenidos grado a grado, alineación con DBA y EBC, intensidad horaria y secuencias didácticas— dentro de ese marco; la validación técnica del 80/20 se realiza en la Tarea 1.5.7. El modelo siembra la lógica; la malla construye el camino.</w:t>
      </w:r>
    </w:p>
    <w:p>
      <w:pPr>
        <w:pStyle w:val="Heading1"/>
      </w:pPr>
      <w:r>
        <w:t xml:space="preserve">A.5 Los «Nuevos Patios» digitales como escenario de aprendizaje</w:t>
      </w:r>
    </w:p>
    <w:p>
      <w:pPr>
        <w:spacing w:after="120"/>
        <w:jc w:val="both"/>
      </w:pPr>
      <w:r>
        <w:t xml:space="preserve">La estructura del modelo reconoce el aula, el patio y la capilla como escenarios complementarios y añade el patio digital como escenario contemporáneo de encuentro, presencia y aprendizaje. En clave salesiana, el entorno digital es un lugar donde el educador está presente y acompaña, y donde la comunidad educativa aprende, convive y crea. Este escenario es el lugar natural donde la innovación entra en clave salesiana, y donde se articulan la mediación con IA, la creación digital y la ciudadanía digital.</w:t>
      </w:r>
    </w:p>
    <w:p>
      <w:pPr>
        <w:pStyle w:val="Heading1"/>
      </w:pPr>
      <w:r>
        <w:t xml:space="preserve">A.6 Estrategias didácticas con tecnología e inteligencia artificial</w:t>
      </w:r>
    </w:p>
    <w:p>
      <w:pPr>
        <w:spacing w:after="120"/>
        <w:jc w:val="both"/>
      </w:pPr>
      <w:r>
        <w:t xml:space="preserve">El componente se concreta en las estrategias institucionales del modelo, con énfasis en:</w:t>
      </w:r>
    </w:p>
    <w:p>
      <w:pPr>
        <w:pStyle w:val="ListParagraph"/>
        <w:numPr>
          <w:ilvl w:val="0"/>
          <w:numId w:val="2"/>
        </w:numPr>
        <w:spacing w:after="60"/>
        <w:jc w:val="both"/>
      </w:pPr>
      <w:r>
        <w:t xml:space="preserve">el aprendizaje basado en proyectos e interdisciplinario, con datos y problemas del contexto como punto de partida;</w:t>
      </w:r>
    </w:p>
    <w:p>
      <w:pPr>
        <w:pStyle w:val="ListParagraph"/>
        <w:numPr>
          <w:ilvl w:val="0"/>
          <w:numId w:val="2"/>
        </w:numPr>
        <w:spacing w:after="60"/>
        <w:jc w:val="both"/>
      </w:pPr>
      <w:r>
        <w:t xml:space="preserve">la investigación y la exploración, en continuidad con la tradición normalista de la institución;</w:t>
      </w:r>
    </w:p>
    <w:p>
      <w:pPr>
        <w:pStyle w:val="ListParagraph"/>
        <w:numPr>
          <w:ilvl w:val="0"/>
          <w:numId w:val="2"/>
        </w:numPr>
        <w:spacing w:after="60"/>
        <w:jc w:val="both"/>
      </w:pPr>
      <w:r>
        <w:t xml:space="preserve">la creación digital y multimedia, dimensión hoy más rezagada en la práctica docente según la línea base;</w:t>
      </w:r>
    </w:p>
    <w:p>
      <w:pPr>
        <w:pStyle w:val="ListParagraph"/>
        <w:numPr>
          <w:ilvl w:val="0"/>
          <w:numId w:val="2"/>
        </w:numPr>
        <w:spacing w:after="60"/>
        <w:jc w:val="both"/>
      </w:pPr>
      <w:r>
        <w:t xml:space="preserve">la mediación pedagógica con tecnología e IA, orientada por los criterios de la Directiva MEN 01/2026.</w:t>
      </w:r>
    </w:p>
    <w:p>
      <w:pPr>
        <w:pStyle w:val="Heading1"/>
      </w:pPr>
      <w:r>
        <w:t xml:space="preserve">A.7 El docente en entornos tecnológicos y el puente formativo</w:t>
      </w:r>
    </w:p>
    <w:p>
      <w:pPr>
        <w:spacing w:after="120"/>
        <w:jc w:val="both"/>
      </w:pPr>
      <w:r>
        <w:t xml:space="preserve">El modelo prolonga la «asistencia salesiana» al entorno digital: el docente acompaña, no solo vigila. Para sostener este rol, el componente se apoya en la formación docente, con la línea base 1.2.5 como punto de partida y el Diplomado en IA (Fase 6) como vehículo. La línea base señala tres hechos que el modelo debe asumir:</w:t>
      </w:r>
    </w:p>
    <w:p>
      <w:pPr>
        <w:pStyle w:val="ListParagraph"/>
        <w:numPr>
          <w:ilvl w:val="0"/>
          <w:numId w:val="2"/>
        </w:numPr>
        <w:spacing w:after="60"/>
        <w:jc w:val="both"/>
      </w:pPr>
      <w:r>
        <w:rPr>
          <w:b/>
          <w:bCs/>
        </w:rPr>
        <w:t xml:space="preserve">Disposición alta. </w:t>
      </w:r>
      <w:r>
        <w:t xml:space="preserve">la disposición hacia la innovación es alta (índice 87,6): es la principal palanca institucional;</w:t>
      </w:r>
    </w:p>
    <w:p>
      <w:pPr>
        <w:pStyle w:val="ListParagraph"/>
        <w:numPr>
          <w:ilvl w:val="0"/>
          <w:numId w:val="2"/>
        </w:numPr>
        <w:spacing w:after="60"/>
        <w:jc w:val="both"/>
      </w:pPr>
      <w:r>
        <w:rPr>
          <w:b/>
          <w:bCs/>
        </w:rPr>
        <w:t xml:space="preserve">Brecha interés–destreza. </w:t>
      </w:r>
      <w:r>
        <w:t xml:space="preserve">el interés por formarse en IA (92,0) supera en 23 puntos a la destreza aplicada media: el margen está en llevar la disposición a la práctica de aula;</w:t>
      </w:r>
    </w:p>
    <w:p>
      <w:pPr>
        <w:pStyle w:val="ListParagraph"/>
        <w:numPr>
          <w:ilvl w:val="0"/>
          <w:numId w:val="2"/>
        </w:numPr>
        <w:spacing w:after="60"/>
        <w:jc w:val="both"/>
      </w:pPr>
      <w:r>
        <w:rPr>
          <w:b/>
          <w:bCs/>
        </w:rPr>
        <w:t xml:space="preserve">Capacidad multiplicadora. </w:t>
      </w:r>
      <w:r>
        <w:t xml:space="preserve">la capacidad de orientar a colegas es la más baja (51,8): instalar la innovación como responsabilidad compartida exige formar multiplicadores.</w:t>
      </w:r>
    </w:p>
    <w:p>
      <w:pPr>
        <w:spacing w:after="120"/>
        <w:jc w:val="both"/>
      </w:pPr>
      <w:r>
        <w:t xml:space="preserve">El diseño detallado del Diplomado corresponde a la Fase 6 y no se aborda aquí; el modelo solo establece el puente entre el rol docente y la ruta de formación.</w:t>
      </w:r>
    </w:p>
    <w:p>
      <w:pPr>
        <w:pStyle w:val="Heading1"/>
      </w:pPr>
      <w:r>
        <w:t xml:space="preserve">A.8 Evaluación y aseguramiento de la competencia digital</w:t>
      </w:r>
    </w:p>
    <w:p>
      <w:pPr>
        <w:spacing w:after="120"/>
        <w:jc w:val="both"/>
      </w:pPr>
      <w:r>
        <w:t xml:space="preserve">La evaluación del aprendizaje, articulada con el SIEE (Decreto 1290), incorpora la valoración de las competencias digitales del estudiante desde una mirada formativa y preventiva, coherente con la identidad salesiana (retroalimentación, reconocimiento del progreso). En el nivel institucional, la competencia digital docente se incorpora como indicador del transverso de calidad, con la línea base 1.2.5 (índice 79,4) como punto de partida y su evolución como medida del avance del componente.</w:t>
      </w:r>
    </w:p>
    <w:p>
      <w:pPr>
        <w:pStyle w:val="Heading1"/>
      </w:pPr>
      <w:r>
        <w:t xml:space="preserve">A.9 Trazabilidad: dónde se inserta cada capítulo en la estructura de 15 secciones</w:t>
      </w:r>
    </w:p>
    <w:p>
      <w:pPr>
        <w:spacing w:after="120"/>
        <w:jc w:val="both"/>
      </w:pPr>
      <w:r>
        <w:t xml:space="preserve">El componente de innovación no crea secciones nuevas al margen del modelo: se inserta en la estructura de quince secciones de la Tarea 1.4.1. El cuadro señala el aporte de innovación y tecnología en cada sección donde es protagonista.</w:t>
      </w:r>
    </w:p>
    <w:tbl>
      <w:tblPr>
        <w:tblW w:type="dxa" w:w="9972"/>
        <w:tblBorders>
          <w:top w:val="single" w:color="2E75B6" w:sz="4"/>
          <w:left w:val="single" w:color="2E75B6" w:sz="4"/>
          <w:bottom w:val="single" w:color="2E75B6" w:sz="4"/>
          <w:right w:val="single" w:color="2E75B6" w:sz="4"/>
          <w:insideH w:val="single" w:color="BFBFBF" w:sz="3"/>
          <w:insideV w:val="single" w:color="BFBFBF" w:sz="3"/>
        </w:tblBorders>
      </w:tblPr>
      <w:tblGrid>
        <w:gridCol w:w="3200"/>
        <w:gridCol w:w="6772"/>
      </w:tblGrid>
      <w:tr>
        <w:trPr>
          <w:tblHeader/>
        </w:trPr>
        <w:tc>
          <w:tcPr>
            <w:tcW w:type="dxa" w:w="3200"/>
            <w:shd w:fill="D5E8F0" w:color="auto" w:val="clear"/>
            <w:tcMar>
              <w:top w:type="dxa" w:w="60"/>
              <w:left w:type="dxa" w:w="90"/>
              <w:bottom w:type="dxa" w:w="60"/>
              <w:right w:type="dxa" w:w="90"/>
            </w:tcMar>
          </w:tcPr>
          <w:p>
            <w:pPr>
              <w:spacing w:after="20" w:line="264" w:lineRule="auto"/>
              <w:jc w:val="left"/>
            </w:pPr>
            <w:r>
              <w:rPr>
                <w:b/>
                <w:bCs/>
                <w:color w:val="1F4E79"/>
                <w:sz w:val="20"/>
                <w:szCs w:val="20"/>
              </w:rPr>
              <w:t xml:space="preserve">Sección del modelo (1.4.1)</w:t>
            </w:r>
          </w:p>
        </w:tc>
        <w:tc>
          <w:tcPr>
            <w:tcW w:type="dxa" w:w="6772"/>
            <w:shd w:fill="D5E8F0" w:color="auto" w:val="clear"/>
            <w:tcMar>
              <w:top w:type="dxa" w:w="60"/>
              <w:left w:type="dxa" w:w="90"/>
              <w:bottom w:type="dxa" w:w="60"/>
              <w:right w:type="dxa" w:w="90"/>
            </w:tcMar>
          </w:tcPr>
          <w:p>
            <w:pPr>
              <w:spacing w:after="20" w:line="264" w:lineRule="auto"/>
              <w:jc w:val="left"/>
            </w:pPr>
            <w:r>
              <w:rPr>
                <w:b/>
                <w:bCs/>
                <w:color w:val="1F4E79"/>
                <w:sz w:val="20"/>
                <w:szCs w:val="20"/>
              </w:rPr>
              <w:t xml:space="preserve">Aporte de innovación y tecnología</w:t>
            </w:r>
          </w:p>
        </w:tc>
      </w:tr>
      <w:tr>
        <w:tc>
          <w:tcPr>
            <w:tcW w:type="dxa" w:w="3200"/>
            <w:shd w:fill="D5E8F0" w:color="auto" w:val="clear"/>
            <w:tcMar>
              <w:top w:type="dxa" w:w="60"/>
              <w:left w:type="dxa" w:w="90"/>
              <w:bottom w:type="dxa" w:w="60"/>
              <w:right w:type="dxa" w:w="90"/>
            </w:tcMar>
          </w:tcPr>
          <w:p>
            <w:pPr>
              <w:spacing w:after="20" w:line="264" w:lineRule="auto"/>
              <w:jc w:val="both"/>
            </w:pPr>
            <w:r>
              <w:rPr>
                <w:b/>
                <w:bCs/>
                <w:sz w:val="20"/>
                <w:szCs w:val="20"/>
              </w:rPr>
              <w:t xml:space="preserve">2. Fundamentos del modelo</w:t>
            </w:r>
          </w:p>
        </w:tc>
        <w:tc>
          <w:tcPr>
            <w:tcW w:type="dxa" w:w="6772"/>
            <w:tcMar>
              <w:top w:type="dxa" w:w="60"/>
              <w:left w:type="dxa" w:w="90"/>
              <w:bottom w:type="dxa" w:w="60"/>
              <w:right w:type="dxa" w:w="90"/>
            </w:tcMar>
          </w:tcPr>
          <w:p>
            <w:pPr>
              <w:spacing w:after="20" w:line="264" w:lineRule="auto"/>
              <w:jc w:val="both"/>
            </w:pPr>
            <w:r>
              <w:rPr>
                <w:b w:val="false"/>
                <w:bCs w:val="false"/>
                <w:sz w:val="20"/>
                <w:szCs w:val="20"/>
              </w:rPr>
              <w:t xml:space="preserve">Fundamento epistemológico y sociológico del componente; contexto de la Cuarta Revolución Industrial.</w:t>
            </w:r>
          </w:p>
        </w:tc>
      </w:tr>
      <w:tr>
        <w:tc>
          <w:tcPr>
            <w:tcW w:type="dxa" w:w="3200"/>
            <w:shd w:fill="D5E8F0" w:color="auto" w:val="clear"/>
            <w:tcMar>
              <w:top w:type="dxa" w:w="60"/>
              <w:left w:type="dxa" w:w="90"/>
              <w:bottom w:type="dxa" w:w="60"/>
              <w:right w:type="dxa" w:w="90"/>
            </w:tcMar>
          </w:tcPr>
          <w:p>
            <w:pPr>
              <w:spacing w:after="20" w:line="264" w:lineRule="auto"/>
              <w:jc w:val="both"/>
            </w:pPr>
            <w:r>
              <w:rPr>
                <w:b/>
                <w:bCs/>
                <w:sz w:val="20"/>
                <w:szCs w:val="20"/>
              </w:rPr>
              <w:t xml:space="preserve">3. Política pedagógica</w:t>
            </w:r>
          </w:p>
        </w:tc>
        <w:tc>
          <w:tcPr>
            <w:tcW w:type="dxa" w:w="6772"/>
            <w:tcMar>
              <w:top w:type="dxa" w:w="60"/>
              <w:left w:type="dxa" w:w="90"/>
              <w:bottom w:type="dxa" w:w="60"/>
              <w:right w:type="dxa" w:w="90"/>
            </w:tcMar>
          </w:tcPr>
          <w:p>
            <w:pPr>
              <w:spacing w:after="20" w:line="264" w:lineRule="auto"/>
              <w:jc w:val="both"/>
            </w:pPr>
            <w:r>
              <w:rPr>
                <w:b w:val="false"/>
                <w:bCs w:val="false"/>
                <w:sz w:val="20"/>
                <w:szCs w:val="20"/>
              </w:rPr>
              <w:t xml:space="preserve">Compromiso institucional con la innovación como principio rector.</w:t>
            </w:r>
          </w:p>
        </w:tc>
      </w:tr>
      <w:tr>
        <w:tc>
          <w:tcPr>
            <w:tcW w:type="dxa" w:w="3200"/>
            <w:shd w:fill="D5E8F0" w:color="auto" w:val="clear"/>
            <w:tcMar>
              <w:top w:type="dxa" w:w="60"/>
              <w:left w:type="dxa" w:w="90"/>
              <w:bottom w:type="dxa" w:w="60"/>
              <w:right w:type="dxa" w:w="90"/>
            </w:tcMar>
          </w:tcPr>
          <w:p>
            <w:pPr>
              <w:spacing w:after="20" w:line="264" w:lineRule="auto"/>
              <w:jc w:val="both"/>
            </w:pPr>
            <w:r>
              <w:rPr>
                <w:b/>
                <w:bCs/>
                <w:sz w:val="20"/>
                <w:szCs w:val="20"/>
              </w:rPr>
              <w:t xml:space="preserve">4. Enfoque pedagógico</w:t>
            </w:r>
          </w:p>
        </w:tc>
        <w:tc>
          <w:tcPr>
            <w:tcW w:type="dxa" w:w="6772"/>
            <w:tcMar>
              <w:top w:type="dxa" w:w="60"/>
              <w:left w:type="dxa" w:w="90"/>
              <w:bottom w:type="dxa" w:w="60"/>
              <w:right w:type="dxa" w:w="90"/>
            </w:tcMar>
          </w:tcPr>
          <w:p>
            <w:pPr>
              <w:spacing w:after="20" w:line="264" w:lineRule="auto"/>
              <w:jc w:val="both"/>
            </w:pPr>
            <w:r>
              <w:rPr>
                <w:b w:val="false"/>
                <w:bCs w:val="false"/>
                <w:sz w:val="20"/>
                <w:szCs w:val="20"/>
              </w:rPr>
              <w:t xml:space="preserve">La innovación y el aprendizaje activo digital dentro del Sistema Preventivo; principios tecnopedagógicos (A.3).</w:t>
            </w:r>
          </w:p>
        </w:tc>
      </w:tr>
      <w:tr>
        <w:tc>
          <w:tcPr>
            <w:tcW w:type="dxa" w:w="3200"/>
            <w:shd w:fill="D5E8F0" w:color="auto" w:val="clear"/>
            <w:tcMar>
              <w:top w:type="dxa" w:w="60"/>
              <w:left w:type="dxa" w:w="90"/>
              <w:bottom w:type="dxa" w:w="60"/>
              <w:right w:type="dxa" w:w="90"/>
            </w:tcMar>
          </w:tcPr>
          <w:p>
            <w:pPr>
              <w:spacing w:after="20" w:line="264" w:lineRule="auto"/>
              <w:jc w:val="both"/>
            </w:pPr>
            <w:r>
              <w:rPr>
                <w:b/>
                <w:bCs/>
                <w:sz w:val="20"/>
                <w:szCs w:val="20"/>
              </w:rPr>
              <w:t xml:space="preserve">6. Dimensiones formativas</w:t>
            </w:r>
          </w:p>
        </w:tc>
        <w:tc>
          <w:tcPr>
            <w:tcW w:type="dxa" w:w="6772"/>
            <w:tcMar>
              <w:top w:type="dxa" w:w="60"/>
              <w:left w:type="dxa" w:w="90"/>
              <w:bottom w:type="dxa" w:w="60"/>
              <w:right w:type="dxa" w:w="90"/>
            </w:tcMar>
          </w:tcPr>
          <w:p>
            <w:pPr>
              <w:spacing w:after="20" w:line="264" w:lineRule="auto"/>
              <w:jc w:val="both"/>
            </w:pPr>
            <w:r>
              <w:rPr>
                <w:b w:val="false"/>
                <w:bCs w:val="false"/>
                <w:sz w:val="20"/>
                <w:szCs w:val="20"/>
              </w:rPr>
              <w:t xml:space="preserve">Dimensión comunicativa-digital como hilo del componente.</w:t>
            </w:r>
          </w:p>
        </w:tc>
      </w:tr>
      <w:tr>
        <w:tc>
          <w:tcPr>
            <w:tcW w:type="dxa" w:w="3200"/>
            <w:shd w:fill="D5E8F0" w:color="auto" w:val="clear"/>
            <w:tcMar>
              <w:top w:type="dxa" w:w="60"/>
              <w:left w:type="dxa" w:w="90"/>
              <w:bottom w:type="dxa" w:w="60"/>
              <w:right w:type="dxa" w:w="90"/>
            </w:tcMar>
          </w:tcPr>
          <w:p>
            <w:pPr>
              <w:spacing w:after="20" w:line="264" w:lineRule="auto"/>
              <w:jc w:val="both"/>
            </w:pPr>
            <w:r>
              <w:rPr>
                <w:b/>
                <w:bCs/>
                <w:sz w:val="20"/>
                <w:szCs w:val="20"/>
              </w:rPr>
              <w:t xml:space="preserve">7. Ambientes y escenarios</w:t>
            </w:r>
          </w:p>
        </w:tc>
        <w:tc>
          <w:tcPr>
            <w:tcW w:type="dxa" w:w="6772"/>
            <w:tcMar>
              <w:top w:type="dxa" w:w="60"/>
              <w:left w:type="dxa" w:w="90"/>
              <w:bottom w:type="dxa" w:w="60"/>
              <w:right w:type="dxa" w:w="90"/>
            </w:tcMar>
          </w:tcPr>
          <w:p>
            <w:pPr>
              <w:spacing w:after="20" w:line="264" w:lineRule="auto"/>
              <w:jc w:val="both"/>
            </w:pPr>
            <w:r>
              <w:rPr>
                <w:b w:val="false"/>
                <w:bCs w:val="false"/>
                <w:sz w:val="20"/>
                <w:szCs w:val="20"/>
              </w:rPr>
              <w:t xml:space="preserve">El patio digital como escenario contemporáneo (A.5).</w:t>
            </w:r>
          </w:p>
        </w:tc>
      </w:tr>
      <w:tr>
        <w:tc>
          <w:tcPr>
            <w:tcW w:type="dxa" w:w="3200"/>
            <w:shd w:fill="D5E8F0" w:color="auto" w:val="clear"/>
            <w:tcMar>
              <w:top w:type="dxa" w:w="60"/>
              <w:left w:type="dxa" w:w="90"/>
              <w:bottom w:type="dxa" w:w="60"/>
              <w:right w:type="dxa" w:w="90"/>
            </w:tcMar>
          </w:tcPr>
          <w:p>
            <w:pPr>
              <w:spacing w:after="20" w:line="264" w:lineRule="auto"/>
              <w:jc w:val="both"/>
            </w:pPr>
            <w:r>
              <w:rPr>
                <w:b/>
                <w:bCs/>
                <w:sz w:val="20"/>
                <w:szCs w:val="20"/>
              </w:rPr>
              <w:t xml:space="preserve">8. Ejes operativos y transversales</w:t>
            </w:r>
          </w:p>
        </w:tc>
        <w:tc>
          <w:tcPr>
            <w:tcW w:type="dxa" w:w="6772"/>
            <w:tcMar>
              <w:top w:type="dxa" w:w="60"/>
              <w:left w:type="dxa" w:w="90"/>
              <w:bottom w:type="dxa" w:w="60"/>
              <w:right w:type="dxa" w:w="90"/>
            </w:tcMar>
          </w:tcPr>
          <w:p>
            <w:pPr>
              <w:spacing w:after="20" w:line="264" w:lineRule="auto"/>
              <w:jc w:val="both"/>
            </w:pPr>
            <w:r>
              <w:rPr>
                <w:b w:val="false"/>
                <w:bCs w:val="false"/>
                <w:sz w:val="20"/>
                <w:szCs w:val="20"/>
              </w:rPr>
              <w:t xml:space="preserve">Ciudadanía y bienestar digital, anclados en las Leyes 2489 y 2564.</w:t>
            </w:r>
          </w:p>
        </w:tc>
      </w:tr>
      <w:tr>
        <w:tc>
          <w:tcPr>
            <w:tcW w:type="dxa" w:w="3200"/>
            <w:shd w:fill="D5E8F0" w:color="auto" w:val="clear"/>
            <w:tcMar>
              <w:top w:type="dxa" w:w="60"/>
              <w:left w:type="dxa" w:w="90"/>
              <w:bottom w:type="dxa" w:w="60"/>
              <w:right w:type="dxa" w:w="90"/>
            </w:tcMar>
          </w:tcPr>
          <w:p>
            <w:pPr>
              <w:spacing w:after="20" w:line="264" w:lineRule="auto"/>
              <w:jc w:val="both"/>
            </w:pPr>
            <w:r>
              <w:rPr>
                <w:b/>
                <w:bCs/>
                <w:sz w:val="20"/>
                <w:szCs w:val="20"/>
              </w:rPr>
              <w:t xml:space="preserve">9. Estrategias didácticas</w:t>
            </w:r>
          </w:p>
        </w:tc>
        <w:tc>
          <w:tcPr>
            <w:tcW w:type="dxa" w:w="6772"/>
            <w:tcMar>
              <w:top w:type="dxa" w:w="60"/>
              <w:left w:type="dxa" w:w="90"/>
              <w:bottom w:type="dxa" w:w="60"/>
              <w:right w:type="dxa" w:w="90"/>
            </w:tcMar>
          </w:tcPr>
          <w:p>
            <w:pPr>
              <w:spacing w:after="20" w:line="264" w:lineRule="auto"/>
              <w:jc w:val="both"/>
            </w:pPr>
            <w:r>
              <w:rPr>
                <w:b w:val="false"/>
                <w:bCs w:val="false"/>
                <w:sz w:val="20"/>
                <w:szCs w:val="20"/>
              </w:rPr>
              <w:t xml:space="preserve">Mediación con tecnología e IA; ABP con datos (A.6).</w:t>
            </w:r>
          </w:p>
        </w:tc>
      </w:tr>
      <w:tr>
        <w:tc>
          <w:tcPr>
            <w:tcW w:type="dxa" w:w="3200"/>
            <w:shd w:fill="D5E8F0" w:color="auto" w:val="clear"/>
            <w:tcMar>
              <w:top w:type="dxa" w:w="60"/>
              <w:left w:type="dxa" w:w="90"/>
              <w:bottom w:type="dxa" w:w="60"/>
              <w:right w:type="dxa" w:w="90"/>
            </w:tcMar>
          </w:tcPr>
          <w:p>
            <w:pPr>
              <w:spacing w:after="20" w:line="264" w:lineRule="auto"/>
              <w:jc w:val="both"/>
            </w:pPr>
            <w:r>
              <w:rPr>
                <w:b/>
                <w:bCs/>
                <w:sz w:val="20"/>
                <w:szCs w:val="20"/>
              </w:rPr>
              <w:t xml:space="preserve">11. Rol del docente</w:t>
            </w:r>
          </w:p>
        </w:tc>
        <w:tc>
          <w:tcPr>
            <w:tcW w:type="dxa" w:w="6772"/>
            <w:tcMar>
              <w:top w:type="dxa" w:w="60"/>
              <w:left w:type="dxa" w:w="90"/>
              <w:bottom w:type="dxa" w:w="60"/>
              <w:right w:type="dxa" w:w="90"/>
            </w:tcMar>
          </w:tcPr>
          <w:p>
            <w:pPr>
              <w:spacing w:after="20" w:line="264" w:lineRule="auto"/>
              <w:jc w:val="both"/>
            </w:pPr>
            <w:r>
              <w:rPr>
                <w:b w:val="false"/>
                <w:bCs w:val="false"/>
                <w:sz w:val="20"/>
                <w:szCs w:val="20"/>
              </w:rPr>
              <w:t xml:space="preserve">Asistencia salesiana en el patio digital; puente formativo (A.7).</w:t>
            </w:r>
          </w:p>
        </w:tc>
      </w:tr>
      <w:tr>
        <w:tc>
          <w:tcPr>
            <w:tcW w:type="dxa" w:w="3200"/>
            <w:shd w:fill="D5E8F0" w:color="auto" w:val="clear"/>
            <w:tcMar>
              <w:top w:type="dxa" w:w="60"/>
              <w:left w:type="dxa" w:w="90"/>
              <w:bottom w:type="dxa" w:w="60"/>
              <w:right w:type="dxa" w:w="90"/>
            </w:tcMar>
          </w:tcPr>
          <w:p>
            <w:pPr>
              <w:spacing w:after="20" w:line="264" w:lineRule="auto"/>
              <w:jc w:val="both"/>
            </w:pPr>
            <w:r>
              <w:rPr>
                <w:b/>
                <w:bCs/>
                <w:sz w:val="20"/>
                <w:szCs w:val="20"/>
              </w:rPr>
              <w:t xml:space="preserve">13. Evaluación del aprendizaje</w:t>
            </w:r>
          </w:p>
        </w:tc>
        <w:tc>
          <w:tcPr>
            <w:tcW w:type="dxa" w:w="6772"/>
            <w:tcMar>
              <w:top w:type="dxa" w:w="60"/>
              <w:left w:type="dxa" w:w="90"/>
              <w:bottom w:type="dxa" w:w="60"/>
              <w:right w:type="dxa" w:w="90"/>
            </w:tcMar>
          </w:tcPr>
          <w:p>
            <w:pPr>
              <w:spacing w:after="20" w:line="264" w:lineRule="auto"/>
              <w:jc w:val="both"/>
            </w:pPr>
            <w:r>
              <w:rPr>
                <w:b w:val="false"/>
                <w:bCs w:val="false"/>
                <w:sz w:val="20"/>
                <w:szCs w:val="20"/>
              </w:rPr>
              <w:t xml:space="preserve">Valoración de la competencia digital; indicador del transverso (A.8).</w:t>
            </w:r>
          </w:p>
        </w:tc>
      </w:tr>
      <w:tr>
        <w:tc>
          <w:tcPr>
            <w:tcW w:type="dxa" w:w="3200"/>
            <w:shd w:fill="D5E8F0" w:color="auto" w:val="clear"/>
            <w:tcMar>
              <w:top w:type="dxa" w:w="60"/>
              <w:left w:type="dxa" w:w="90"/>
              <w:bottom w:type="dxa" w:w="60"/>
              <w:right w:type="dxa" w:w="90"/>
            </w:tcMar>
          </w:tcPr>
          <w:p>
            <w:pPr>
              <w:spacing w:after="20" w:line="264" w:lineRule="auto"/>
              <w:jc w:val="both"/>
            </w:pPr>
            <w:r>
              <w:rPr>
                <w:b/>
                <w:bCs/>
                <w:sz w:val="20"/>
                <w:szCs w:val="20"/>
              </w:rPr>
              <w:t xml:space="preserve">15. Articulación y seguimiento</w:t>
            </w:r>
          </w:p>
        </w:tc>
        <w:tc>
          <w:tcPr>
            <w:tcW w:type="dxa" w:w="6772"/>
            <w:tcMar>
              <w:top w:type="dxa" w:w="60"/>
              <w:left w:type="dxa" w:w="90"/>
              <w:bottom w:type="dxa" w:w="60"/>
              <w:right w:type="dxa" w:w="90"/>
            </w:tcMar>
          </w:tcPr>
          <w:p>
            <w:pPr>
              <w:spacing w:after="20" w:line="264" w:lineRule="auto"/>
              <w:jc w:val="both"/>
            </w:pPr>
            <w:r>
              <w:rPr>
                <w:b w:val="false"/>
                <w:bCs w:val="false"/>
                <w:sz w:val="20"/>
                <w:szCs w:val="20"/>
              </w:rPr>
              <w:t xml:space="preserve">El hilo conductor y su destino; aterrizaje en las mallas (Fase 4) e indicador de competencia digital docente.</w:t>
            </w:r>
          </w:p>
        </w:tc>
      </w:tr>
    </w:tbl>
    <w:p>
      <w:r>
        <w:br w:type="page"/>
      </w:r>
    </w:p>
    <w:p>
      <w:pPr>
        <w:pBdr>
          <w:bottom w:val="single" w:color="BF9000" w:sz="12" w:space="2"/>
        </w:pBdr>
        <w:spacing w:after="120"/>
      </w:pPr>
      <w:r>
        <w:rPr>
          <w:b/>
          <w:bCs/>
          <w:color w:val="BF9000"/>
          <w:sz w:val="26"/>
          <w:szCs w:val="26"/>
        </w:rPr>
        <w:t xml:space="preserve">PARTE B · Articulación con razón, religión y amabilidad (Tarea 1.4.3)</w:t>
      </w:r>
    </w:p>
    <w:p>
      <w:pPr>
        <w:pStyle w:val="Heading1"/>
      </w:pPr>
      <w:r>
        <w:t xml:space="preserve">B.1 Sentido de la articulación</w:t>
      </w:r>
    </w:p>
    <w:p>
      <w:pPr>
        <w:spacing w:after="120"/>
        <w:jc w:val="both"/>
      </w:pPr>
      <w:r>
        <w:t xml:space="preserve">El componente de innovación no se justifica «al lado» del carisma: se articula por dentro de él. Don Bosco sintetiza su propuesta en el trinomio razón, religión y amabilidad. La pregunta de esta tarea no es si la tecnología cabe en ese trinomio, sino cómo cada clave del carisma da forma, sentido y límite al uso de la tecnología. La articulación se construye con el lenguaje del propio PEI, y se ofrece como propuesta abierta para el equipo pastoral de la institución.</w:t>
      </w:r>
    </w:p>
    <w:p>
      <w:pPr>
        <w:pStyle w:val="Heading1"/>
      </w:pPr>
      <w:r>
        <w:t xml:space="preserve">B.2 Las tres claves del carisma (síntesis desde el PEI vigente)</w:t>
      </w:r>
    </w:p>
    <w:p>
      <w:pPr>
        <w:spacing w:after="120"/>
        <w:jc w:val="both"/>
      </w:pPr>
      <w:r>
        <w:rPr>
          <w:b/>
          <w:bCs/>
          <w:color w:val="1F4E79"/>
        </w:rPr>
        <w:t xml:space="preserve">Razón. </w:t>
      </w:r>
      <w:r>
        <w:t xml:space="preserve">El Sistema Preventivo promueve una educación razonada: en todo lo que se hace, se dice, se ordena y se exige, debe percibirse racionalidad. La razón es también una educación para la crítica, anclada en la experiencia de los hechos vividos, juzgados y valorados.</w:t>
      </w:r>
    </w:p>
    <w:p>
      <w:pPr>
        <w:spacing w:after="120"/>
        <w:jc w:val="both"/>
      </w:pPr>
      <w:r>
        <w:rPr>
          <w:b/>
          <w:bCs/>
          <w:color w:val="1F4E79"/>
        </w:rPr>
        <w:t xml:space="preserve">Religión. </w:t>
      </w:r>
      <w:r>
        <w:t xml:space="preserve">La inserción del elemento fe manifiesta la visión que se tiene de la persona, con todas sus potencialidades y límites. En el cimiento del sistema está Dios, y la finalidad es formar «buenos cristianos y honestos ciudadanos» comprometidos con el cuidado de la casa común.</w:t>
      </w:r>
    </w:p>
    <w:p>
      <w:pPr>
        <w:spacing w:after="120"/>
        <w:jc w:val="both"/>
      </w:pPr>
      <w:r>
        <w:rPr>
          <w:b/>
          <w:bCs/>
          <w:color w:val="1F4E79"/>
        </w:rPr>
        <w:t xml:space="preserve">Amabilidad. </w:t>
      </w:r>
      <w:r>
        <w:t xml:space="preserve">Es el amor esencialmente pedagógico que lleva al consenso sobre los valores: «amar sin poseer, servir sin dominar». Se ejerce como presencia y acompañamiento —la «asistencia» salesiana— y como prevención antes que corrección.</w:t>
      </w:r>
    </w:p>
    <w:p>
      <w:pPr>
        <w:pStyle w:val="Heading1"/>
      </w:pPr>
      <w:r>
        <w:t xml:space="preserve">B.3 Matriz de articulación: razón–religión–amabilidad × tecnología</w:t>
      </w:r>
    </w:p>
    <w:p>
      <w:pPr>
        <w:spacing w:after="120"/>
        <w:jc w:val="both"/>
      </w:pPr>
      <w:r>
        <w:t xml:space="preserve">Para cada clave del carisma, la matriz enuncia qué afirma en clave tecnológica, qué previene o limita, en qué referente o insumo se apoya y dónde se concreta en el modelo.</w:t>
      </w:r>
    </w:p>
    <w:tbl>
      <w:tblPr>
        <w:tblW w:type="dxa" w:w="9972"/>
        <w:tblBorders>
          <w:top w:val="single" w:color="2E75B6" w:sz="4"/>
          <w:left w:val="single" w:color="2E75B6" w:sz="4"/>
          <w:bottom w:val="single" w:color="2E75B6" w:sz="4"/>
          <w:right w:val="single" w:color="2E75B6" w:sz="4"/>
          <w:insideH w:val="single" w:color="BFBFBF" w:sz="3"/>
          <w:insideV w:val="single" w:color="BFBFBF" w:sz="3"/>
        </w:tblBorders>
      </w:tblPr>
      <w:tblGrid>
        <w:gridCol w:w="1300"/>
        <w:gridCol w:w="2450"/>
        <w:gridCol w:w="2200"/>
        <w:gridCol w:w="2022"/>
        <w:gridCol w:w="2000"/>
      </w:tblGrid>
      <w:tr>
        <w:trPr>
          <w:tblHeader/>
        </w:trPr>
        <w:tc>
          <w:tcPr>
            <w:tcW w:type="dxa" w:w="1300"/>
            <w:shd w:fill="D5E8F0" w:color="auto" w:val="clear"/>
            <w:tcMar>
              <w:top w:type="dxa" w:w="60"/>
              <w:left w:type="dxa" w:w="90"/>
              <w:bottom w:type="dxa" w:w="60"/>
              <w:right w:type="dxa" w:w="90"/>
            </w:tcMar>
          </w:tcPr>
          <w:p>
            <w:pPr>
              <w:spacing w:after="20" w:line="264" w:lineRule="auto"/>
              <w:jc w:val="left"/>
            </w:pPr>
            <w:r>
              <w:rPr>
                <w:b/>
                <w:bCs/>
                <w:color w:val="1F4E79"/>
                <w:sz w:val="20"/>
                <w:szCs w:val="20"/>
              </w:rPr>
              <w:t xml:space="preserve">Clave</w:t>
            </w:r>
          </w:p>
        </w:tc>
        <w:tc>
          <w:tcPr>
            <w:tcW w:type="dxa" w:w="2450"/>
            <w:shd w:fill="D5E8F0" w:color="auto" w:val="clear"/>
            <w:tcMar>
              <w:top w:type="dxa" w:w="60"/>
              <w:left w:type="dxa" w:w="90"/>
              <w:bottom w:type="dxa" w:w="60"/>
              <w:right w:type="dxa" w:w="90"/>
            </w:tcMar>
          </w:tcPr>
          <w:p>
            <w:pPr>
              <w:spacing w:after="20" w:line="264" w:lineRule="auto"/>
              <w:jc w:val="left"/>
            </w:pPr>
            <w:r>
              <w:rPr>
                <w:b/>
                <w:bCs/>
                <w:color w:val="1F4E79"/>
                <w:sz w:val="20"/>
                <w:szCs w:val="20"/>
              </w:rPr>
              <w:t xml:space="preserve">Qué afirma en clave tecnológica</w:t>
            </w:r>
          </w:p>
        </w:tc>
        <w:tc>
          <w:tcPr>
            <w:tcW w:type="dxa" w:w="2200"/>
            <w:shd w:fill="D5E8F0" w:color="auto" w:val="clear"/>
            <w:tcMar>
              <w:top w:type="dxa" w:w="60"/>
              <w:left w:type="dxa" w:w="90"/>
              <w:bottom w:type="dxa" w:w="60"/>
              <w:right w:type="dxa" w:w="90"/>
            </w:tcMar>
          </w:tcPr>
          <w:p>
            <w:pPr>
              <w:spacing w:after="20" w:line="264" w:lineRule="auto"/>
              <w:jc w:val="left"/>
            </w:pPr>
            <w:r>
              <w:rPr>
                <w:b/>
                <w:bCs/>
                <w:color w:val="1F4E79"/>
                <w:sz w:val="20"/>
                <w:szCs w:val="20"/>
              </w:rPr>
              <w:t xml:space="preserve">Qué previene / límite</w:t>
            </w:r>
          </w:p>
        </w:tc>
        <w:tc>
          <w:tcPr>
            <w:tcW w:type="dxa" w:w="2022"/>
            <w:shd w:fill="D5E8F0" w:color="auto" w:val="clear"/>
            <w:tcMar>
              <w:top w:type="dxa" w:w="60"/>
              <w:left w:type="dxa" w:w="90"/>
              <w:bottom w:type="dxa" w:w="60"/>
              <w:right w:type="dxa" w:w="90"/>
            </w:tcMar>
          </w:tcPr>
          <w:p>
            <w:pPr>
              <w:spacing w:after="20" w:line="264" w:lineRule="auto"/>
              <w:jc w:val="left"/>
            </w:pPr>
            <w:r>
              <w:rPr>
                <w:b/>
                <w:bCs/>
                <w:color w:val="1F4E79"/>
                <w:sz w:val="20"/>
                <w:szCs w:val="20"/>
              </w:rPr>
              <w:t xml:space="preserve">Referente o insumo</w:t>
            </w:r>
          </w:p>
        </w:tc>
        <w:tc>
          <w:tcPr>
            <w:tcW w:type="dxa" w:w="2000"/>
            <w:shd w:fill="D5E8F0" w:color="auto" w:val="clear"/>
            <w:tcMar>
              <w:top w:type="dxa" w:w="60"/>
              <w:left w:type="dxa" w:w="90"/>
              <w:bottom w:type="dxa" w:w="60"/>
              <w:right w:type="dxa" w:w="90"/>
            </w:tcMar>
          </w:tcPr>
          <w:p>
            <w:pPr>
              <w:spacing w:after="20" w:line="264" w:lineRule="auto"/>
              <w:jc w:val="left"/>
            </w:pPr>
            <w:r>
              <w:rPr>
                <w:b/>
                <w:bCs/>
                <w:color w:val="1F4E79"/>
                <w:sz w:val="20"/>
                <w:szCs w:val="20"/>
              </w:rPr>
              <w:t xml:space="preserve">Dónde se concreta</w:t>
            </w:r>
          </w:p>
        </w:tc>
      </w:tr>
      <w:tr>
        <w:trPr>
          <w:cantSplit/>
        </w:trPr>
        <w:tc>
          <w:tcPr>
            <w:tcW w:type="dxa" w:w="1300"/>
            <w:shd w:fill="D5E8F0" w:color="auto" w:val="clear"/>
            <w:tcMar>
              <w:top w:type="dxa" w:w="60"/>
              <w:left w:type="dxa" w:w="90"/>
              <w:bottom w:type="dxa" w:w="60"/>
              <w:right w:type="dxa" w:w="90"/>
            </w:tcMar>
          </w:tcPr>
          <w:p>
            <w:pPr>
              <w:spacing w:after="20" w:line="264" w:lineRule="auto"/>
              <w:jc w:val="both"/>
            </w:pPr>
            <w:r>
              <w:rPr>
                <w:b/>
                <w:bCs/>
                <w:sz w:val="18"/>
                <w:szCs w:val="18"/>
              </w:rPr>
              <w:t xml:space="preserve">RAZÓN</w:t>
            </w:r>
          </w:p>
        </w:tc>
        <w:tc>
          <w:tcPr>
            <w:tcW w:type="dxa" w:w="2450"/>
            <w:tcMar>
              <w:top w:type="dxa" w:w="60"/>
              <w:left w:type="dxa" w:w="90"/>
              <w:bottom w:type="dxa" w:w="60"/>
              <w:right w:type="dxa" w:w="90"/>
            </w:tcMar>
          </w:tcPr>
          <w:p>
            <w:pPr>
              <w:spacing w:after="20" w:line="252" w:lineRule="auto"/>
              <w:ind w:left="150" w:hanging="150"/>
              <w:jc w:val="both"/>
            </w:pPr>
            <w:r>
              <w:rPr>
                <w:sz w:val="19"/>
                <w:szCs w:val="19"/>
              </w:rPr>
              <w:t xml:space="preserve">– Educación razonada aplicada a lo digital: uso con criterio y propósito.</w:t>
            </w:r>
          </w:p>
          <w:p>
            <w:pPr>
              <w:spacing w:after="20" w:line="252" w:lineRule="auto"/>
              <w:ind w:left="150" w:hanging="150"/>
              <w:jc w:val="both"/>
            </w:pPr>
            <w:r>
              <w:rPr>
                <w:sz w:val="19"/>
                <w:szCs w:val="19"/>
              </w:rPr>
              <w:t xml:space="preserve">– Pensamiento crítico frente a la IA: verificar, contrastar, detectar sesgos y «alucinaciones».</w:t>
            </w:r>
          </w:p>
          <w:p>
            <w:pPr>
              <w:spacing w:after="20" w:line="252" w:lineRule="auto"/>
              <w:ind w:left="150" w:hanging="150"/>
              <w:jc w:val="both"/>
            </w:pPr>
            <w:r>
              <w:rPr>
                <w:sz w:val="19"/>
                <w:szCs w:val="19"/>
              </w:rPr>
              <w:t xml:space="preserve">– Cultura de datos como forma de comprender la realidad; ética algorítmica como parte del juicio.</w:t>
            </w:r>
          </w:p>
        </w:tc>
        <w:tc>
          <w:tcPr>
            <w:tcW w:type="dxa" w:w="2200"/>
            <w:tcMar>
              <w:top w:type="dxa" w:w="60"/>
              <w:left w:type="dxa" w:w="90"/>
              <w:bottom w:type="dxa" w:w="60"/>
              <w:right w:type="dxa" w:w="90"/>
            </w:tcMar>
          </w:tcPr>
          <w:p>
            <w:pPr>
              <w:spacing w:after="20" w:line="252" w:lineRule="auto"/>
              <w:ind w:left="150" w:hanging="150"/>
              <w:jc w:val="both"/>
            </w:pPr>
            <w:r>
              <w:rPr>
                <w:sz w:val="19"/>
                <w:szCs w:val="19"/>
              </w:rPr>
              <w:t xml:space="preserve">– La delegación acrítica en la máquina («porque lo dice la IA»).</w:t>
            </w:r>
          </w:p>
          <w:p>
            <w:pPr>
              <w:spacing w:after="20" w:line="252" w:lineRule="auto"/>
              <w:ind w:left="150" w:hanging="150"/>
              <w:jc w:val="both"/>
            </w:pPr>
            <w:r>
              <w:rPr>
                <w:sz w:val="19"/>
                <w:szCs w:val="19"/>
              </w:rPr>
              <w:t xml:space="preserve">– El dato sin interpretación y el uso sin sentido pedagógico.</w:t>
            </w:r>
          </w:p>
        </w:tc>
        <w:tc>
          <w:tcPr>
            <w:tcW w:type="dxa" w:w="2022"/>
            <w:tcMar>
              <w:top w:type="dxa" w:w="60"/>
              <w:left w:type="dxa" w:w="90"/>
              <w:bottom w:type="dxa" w:w="60"/>
              <w:right w:type="dxa" w:w="90"/>
            </w:tcMar>
          </w:tcPr>
          <w:p>
            <w:pPr>
              <w:spacing w:after="20" w:line="252" w:lineRule="auto"/>
              <w:ind w:left="150" w:hanging="150"/>
              <w:jc w:val="both"/>
            </w:pPr>
            <w:r>
              <w:rPr>
                <w:sz w:val="19"/>
                <w:szCs w:val="19"/>
              </w:rPr>
              <w:t xml:space="preserve">– PEI §2.2 (educación razonada).</w:t>
            </w:r>
          </w:p>
          <w:p>
            <w:pPr>
              <w:spacing w:after="20" w:line="252" w:lineRule="auto"/>
              <w:ind w:left="150" w:hanging="150"/>
              <w:jc w:val="both"/>
            </w:pPr>
            <w:r>
              <w:rPr>
                <w:sz w:val="19"/>
                <w:szCs w:val="19"/>
              </w:rPr>
              <w:t xml:space="preserve">– 1.2.5 · D6 (detección de sesgos 75,0).</w:t>
            </w:r>
          </w:p>
          <w:p>
            <w:pPr>
              <w:spacing w:after="20" w:line="252" w:lineRule="auto"/>
              <w:ind w:left="150" w:hanging="150"/>
              <w:jc w:val="both"/>
            </w:pPr>
            <w:r>
              <w:rPr>
                <w:sz w:val="19"/>
                <w:szCs w:val="19"/>
              </w:rPr>
              <w:t xml:space="preserve">– Directiva MEN 01/2026.</w:t>
            </w:r>
          </w:p>
        </w:tc>
        <w:tc>
          <w:tcPr>
            <w:tcW w:type="dxa" w:w="2000"/>
            <w:tcMar>
              <w:top w:type="dxa" w:w="60"/>
              <w:left w:type="dxa" w:w="90"/>
              <w:bottom w:type="dxa" w:w="60"/>
              <w:right w:type="dxa" w:w="90"/>
            </w:tcMar>
          </w:tcPr>
          <w:p>
            <w:pPr>
              <w:spacing w:after="20" w:line="252" w:lineRule="auto"/>
              <w:ind w:left="150" w:hanging="150"/>
              <w:jc w:val="both"/>
            </w:pPr>
            <w:r>
              <w:rPr>
                <w:sz w:val="19"/>
                <w:szCs w:val="19"/>
              </w:rPr>
              <w:t xml:space="preserve">– §4 Enfoque.</w:t>
            </w:r>
          </w:p>
          <w:p>
            <w:pPr>
              <w:spacing w:after="20" w:line="252" w:lineRule="auto"/>
              <w:ind w:left="150" w:hanging="150"/>
              <w:jc w:val="both"/>
            </w:pPr>
            <w:r>
              <w:rPr>
                <w:sz w:val="19"/>
                <w:szCs w:val="19"/>
              </w:rPr>
              <w:t xml:space="preserve">– §9 Estrategias (mediación con IA).</w:t>
            </w:r>
          </w:p>
          <w:p>
            <w:pPr>
              <w:spacing w:after="20" w:line="252" w:lineRule="auto"/>
              <w:ind w:left="150" w:hanging="150"/>
              <w:jc w:val="both"/>
            </w:pPr>
            <w:r>
              <w:rPr>
                <w:sz w:val="19"/>
                <w:szCs w:val="19"/>
              </w:rPr>
              <w:t xml:space="preserve">– §13 Evaluación.</w:t>
            </w:r>
          </w:p>
        </w:tc>
      </w:tr>
      <w:tr>
        <w:trPr>
          <w:cantSplit/>
        </w:trPr>
        <w:tc>
          <w:tcPr>
            <w:tcW w:type="dxa" w:w="1300"/>
            <w:shd w:fill="D5E8F0" w:color="auto" w:val="clear"/>
            <w:tcMar>
              <w:top w:type="dxa" w:w="60"/>
              <w:left w:type="dxa" w:w="90"/>
              <w:bottom w:type="dxa" w:w="60"/>
              <w:right w:type="dxa" w:w="90"/>
            </w:tcMar>
          </w:tcPr>
          <w:p>
            <w:pPr>
              <w:spacing w:after="20" w:line="264" w:lineRule="auto"/>
              <w:jc w:val="both"/>
            </w:pPr>
            <w:r>
              <w:rPr>
                <w:b/>
                <w:bCs/>
                <w:sz w:val="18"/>
                <w:szCs w:val="18"/>
              </w:rPr>
              <w:t xml:space="preserve">RELIGIÓN</w:t>
            </w:r>
          </w:p>
        </w:tc>
        <w:tc>
          <w:tcPr>
            <w:tcW w:type="dxa" w:w="2450"/>
            <w:tcMar>
              <w:top w:type="dxa" w:w="60"/>
              <w:left w:type="dxa" w:w="90"/>
              <w:bottom w:type="dxa" w:w="60"/>
              <w:right w:type="dxa" w:w="90"/>
            </w:tcMar>
          </w:tcPr>
          <w:p>
            <w:pPr>
              <w:spacing w:after="20" w:line="252" w:lineRule="auto"/>
              <w:ind w:left="150" w:hanging="150"/>
              <w:jc w:val="both"/>
            </w:pPr>
            <w:r>
              <w:rPr>
                <w:sz w:val="19"/>
                <w:szCs w:val="19"/>
              </w:rPr>
              <w:t xml:space="preserve">– La tecnología al servicio de la dignidad de la persona y del «buen cristiano y honesto ciudadano».</w:t>
            </w:r>
          </w:p>
          <w:p>
            <w:pPr>
              <w:spacing w:after="20" w:line="252" w:lineRule="auto"/>
              <w:ind w:left="150" w:hanging="150"/>
              <w:jc w:val="both"/>
            </w:pPr>
            <w:r>
              <w:rPr>
                <w:sz w:val="19"/>
                <w:szCs w:val="19"/>
              </w:rPr>
              <w:t xml:space="preserve">– Ética del dato y del cuidado (protección de datos, habeas data).</w:t>
            </w:r>
          </w:p>
          <w:p>
            <w:pPr>
              <w:spacing w:after="20" w:line="252" w:lineRule="auto"/>
              <w:ind w:left="150" w:hanging="150"/>
              <w:jc w:val="both"/>
            </w:pPr>
            <w:r>
              <w:rPr>
                <w:sz w:val="19"/>
                <w:szCs w:val="19"/>
              </w:rPr>
              <w:t xml:space="preserve">– Cuidado de la casa común: dimensión ecológica y responsable de lo digital.</w:t>
            </w:r>
          </w:p>
        </w:tc>
        <w:tc>
          <w:tcPr>
            <w:tcW w:type="dxa" w:w="2200"/>
            <w:tcMar>
              <w:top w:type="dxa" w:w="60"/>
              <w:left w:type="dxa" w:w="90"/>
              <w:bottom w:type="dxa" w:w="60"/>
              <w:right w:type="dxa" w:w="90"/>
            </w:tcMar>
          </w:tcPr>
          <w:p>
            <w:pPr>
              <w:spacing w:after="20" w:line="252" w:lineRule="auto"/>
              <w:ind w:left="150" w:hanging="150"/>
              <w:jc w:val="both"/>
            </w:pPr>
            <w:r>
              <w:rPr>
                <w:sz w:val="19"/>
                <w:szCs w:val="19"/>
              </w:rPr>
              <w:t xml:space="preserve">– La tecnificación de lo trascendente y de la relación educativa.</w:t>
            </w:r>
          </w:p>
          <w:p>
            <w:pPr>
              <w:spacing w:after="20" w:line="252" w:lineRule="auto"/>
              <w:ind w:left="150" w:hanging="150"/>
              <w:jc w:val="both"/>
            </w:pPr>
            <w:r>
              <w:rPr>
                <w:sz w:val="19"/>
                <w:szCs w:val="19"/>
              </w:rPr>
              <w:t xml:space="preserve">– La reducción de la persona a dato; el uso que instrumentaliza o excluye.</w:t>
            </w:r>
          </w:p>
          <w:p>
            <w:pPr>
              <w:spacing w:after="20" w:line="252" w:lineRule="auto"/>
              <w:ind w:left="150" w:hanging="150"/>
              <w:jc w:val="both"/>
            </w:pPr>
            <w:r>
              <w:rPr>
                <w:sz w:val="19"/>
                <w:szCs w:val="19"/>
              </w:rPr>
              <w:t xml:space="preserve">– El encuentro y la interioridad no se digitalizan.</w:t>
            </w:r>
          </w:p>
        </w:tc>
        <w:tc>
          <w:tcPr>
            <w:tcW w:type="dxa" w:w="2022"/>
            <w:tcMar>
              <w:top w:type="dxa" w:w="60"/>
              <w:left w:type="dxa" w:w="90"/>
              <w:bottom w:type="dxa" w:w="60"/>
              <w:right w:type="dxa" w:w="90"/>
            </w:tcMar>
          </w:tcPr>
          <w:p>
            <w:pPr>
              <w:spacing w:after="20" w:line="252" w:lineRule="auto"/>
              <w:ind w:left="150" w:hanging="150"/>
              <w:jc w:val="both"/>
            </w:pPr>
            <w:r>
              <w:rPr>
                <w:sz w:val="19"/>
                <w:szCs w:val="19"/>
              </w:rPr>
              <w:t xml:space="preserve">– PEI §2.2 (la religión como cimiento y visión de la persona).</w:t>
            </w:r>
          </w:p>
          <w:p>
            <w:pPr>
              <w:spacing w:after="20" w:line="252" w:lineRule="auto"/>
              <w:ind w:left="150" w:hanging="150"/>
              <w:jc w:val="both"/>
            </w:pPr>
            <w:r>
              <w:rPr>
                <w:sz w:val="19"/>
                <w:szCs w:val="19"/>
              </w:rPr>
              <w:t xml:space="preserve">– Fórmula «buenos cristianos y honestos ciudadanos».</w:t>
            </w:r>
          </w:p>
        </w:tc>
        <w:tc>
          <w:tcPr>
            <w:tcW w:type="dxa" w:w="2000"/>
            <w:tcMar>
              <w:top w:type="dxa" w:w="60"/>
              <w:left w:type="dxa" w:w="90"/>
              <w:bottom w:type="dxa" w:w="60"/>
              <w:right w:type="dxa" w:w="90"/>
            </w:tcMar>
          </w:tcPr>
          <w:p>
            <w:pPr>
              <w:spacing w:after="20" w:line="252" w:lineRule="auto"/>
              <w:ind w:left="150" w:hanging="150"/>
              <w:jc w:val="both"/>
            </w:pPr>
            <w:r>
              <w:rPr>
                <w:sz w:val="19"/>
                <w:szCs w:val="19"/>
              </w:rPr>
              <w:t xml:space="preserve">– §2 Fundamentos (pastoral-ético).</w:t>
            </w:r>
          </w:p>
          <w:p>
            <w:pPr>
              <w:spacing w:after="20" w:line="252" w:lineRule="auto"/>
              <w:ind w:left="150" w:hanging="150"/>
              <w:jc w:val="both"/>
            </w:pPr>
            <w:r>
              <w:rPr>
                <w:sz w:val="19"/>
                <w:szCs w:val="19"/>
              </w:rPr>
              <w:t xml:space="preserve">– §6 Dimensión espiritual.</w:t>
            </w:r>
          </w:p>
          <w:p>
            <w:pPr>
              <w:spacing w:after="20" w:line="252" w:lineRule="auto"/>
              <w:ind w:left="150" w:hanging="150"/>
              <w:jc w:val="both"/>
            </w:pPr>
            <w:r>
              <w:rPr>
                <w:sz w:val="19"/>
                <w:szCs w:val="19"/>
              </w:rPr>
              <w:t xml:space="preserve">– §8 Cultura del cuidado.</w:t>
            </w:r>
          </w:p>
        </w:tc>
      </w:tr>
      <w:tr>
        <w:trPr>
          <w:cantSplit/>
        </w:trPr>
        <w:tc>
          <w:tcPr>
            <w:tcW w:type="dxa" w:w="1300"/>
            <w:shd w:fill="D5E8F0" w:color="auto" w:val="clear"/>
            <w:tcMar>
              <w:top w:type="dxa" w:w="60"/>
              <w:left w:type="dxa" w:w="90"/>
              <w:bottom w:type="dxa" w:w="60"/>
              <w:right w:type="dxa" w:w="90"/>
            </w:tcMar>
          </w:tcPr>
          <w:p>
            <w:pPr>
              <w:spacing w:after="20" w:line="264" w:lineRule="auto"/>
              <w:jc w:val="both"/>
            </w:pPr>
            <w:r>
              <w:rPr>
                <w:b/>
                <w:bCs/>
                <w:sz w:val="16"/>
                <w:szCs w:val="16"/>
              </w:rPr>
              <w:t xml:space="preserve">AMABILIDAD</w:t>
            </w:r>
          </w:p>
        </w:tc>
        <w:tc>
          <w:tcPr>
            <w:tcW w:type="dxa" w:w="2450"/>
            <w:tcMar>
              <w:top w:type="dxa" w:w="60"/>
              <w:left w:type="dxa" w:w="90"/>
              <w:bottom w:type="dxa" w:w="60"/>
              <w:right w:type="dxa" w:w="90"/>
            </w:tcMar>
          </w:tcPr>
          <w:p>
            <w:pPr>
              <w:spacing w:after="20" w:line="252" w:lineRule="auto"/>
              <w:ind w:left="150" w:hanging="150"/>
              <w:jc w:val="both"/>
            </w:pPr>
            <w:r>
              <w:rPr>
                <w:sz w:val="19"/>
                <w:szCs w:val="19"/>
              </w:rPr>
              <w:t xml:space="preserve">– La «asistencia» salesiana ejercida también en el patio digital: acompañar y estar presente, no solo vigilar.</w:t>
            </w:r>
          </w:p>
          <w:p>
            <w:pPr>
              <w:spacing w:after="20" w:line="252" w:lineRule="auto"/>
              <w:ind w:left="150" w:hanging="150"/>
              <w:jc w:val="both"/>
            </w:pPr>
            <w:r>
              <w:rPr>
                <w:sz w:val="19"/>
                <w:szCs w:val="19"/>
              </w:rPr>
              <w:t xml:space="preserve">– La prevención aplicada a la ciberconvivencia: bienestar digital y prevención del ciberacoso.</w:t>
            </w:r>
          </w:p>
          <w:p>
            <w:pPr>
              <w:spacing w:after="20" w:line="252" w:lineRule="auto"/>
              <w:ind w:left="150" w:hanging="150"/>
              <w:jc w:val="both"/>
            </w:pPr>
            <w:r>
              <w:rPr>
                <w:sz w:val="19"/>
                <w:szCs w:val="19"/>
              </w:rPr>
              <w:t xml:space="preserve">– Ambientes digitales seguros y humanizadores.</w:t>
            </w:r>
          </w:p>
        </w:tc>
        <w:tc>
          <w:tcPr>
            <w:tcW w:type="dxa" w:w="2200"/>
            <w:tcMar>
              <w:top w:type="dxa" w:w="60"/>
              <w:left w:type="dxa" w:w="90"/>
              <w:bottom w:type="dxa" w:w="60"/>
              <w:right w:type="dxa" w:w="90"/>
            </w:tcMar>
          </w:tcPr>
          <w:p>
            <w:pPr>
              <w:spacing w:after="20" w:line="252" w:lineRule="auto"/>
              <w:ind w:left="150" w:hanging="150"/>
              <w:jc w:val="both"/>
            </w:pPr>
            <w:r>
              <w:rPr>
                <w:sz w:val="19"/>
                <w:szCs w:val="19"/>
              </w:rPr>
              <w:t xml:space="preserve">– La sustitución de la relación por la máquina.</w:t>
            </w:r>
          </w:p>
          <w:p>
            <w:pPr>
              <w:spacing w:after="20" w:line="252" w:lineRule="auto"/>
              <w:ind w:left="150" w:hanging="150"/>
              <w:jc w:val="both"/>
            </w:pPr>
            <w:r>
              <w:rPr>
                <w:sz w:val="19"/>
                <w:szCs w:val="19"/>
              </w:rPr>
              <w:t xml:space="preserve">– La vigilancia sin acompañamiento.</w:t>
            </w:r>
          </w:p>
          <w:p>
            <w:pPr>
              <w:spacing w:after="20" w:line="252" w:lineRule="auto"/>
              <w:ind w:left="150" w:hanging="150"/>
              <w:jc w:val="both"/>
            </w:pPr>
            <w:r>
              <w:rPr>
                <w:sz w:val="19"/>
                <w:szCs w:val="19"/>
              </w:rPr>
              <w:t xml:space="preserve">– Los entornos digitales que dañan (violencia en línea).</w:t>
            </w:r>
          </w:p>
        </w:tc>
        <w:tc>
          <w:tcPr>
            <w:tcW w:type="dxa" w:w="2022"/>
            <w:tcMar>
              <w:top w:type="dxa" w:w="60"/>
              <w:left w:type="dxa" w:w="90"/>
              <w:bottom w:type="dxa" w:w="60"/>
              <w:right w:type="dxa" w:w="90"/>
            </w:tcMar>
          </w:tcPr>
          <w:p>
            <w:pPr>
              <w:spacing w:after="20" w:line="252" w:lineRule="auto"/>
              <w:ind w:left="150" w:hanging="150"/>
              <w:jc w:val="both"/>
            </w:pPr>
            <w:r>
              <w:rPr>
                <w:sz w:val="19"/>
                <w:szCs w:val="19"/>
              </w:rPr>
              <w:t xml:space="preserve">– PEI §2.2 (amabilidad: «servir sin dominar»).</w:t>
            </w:r>
          </w:p>
          <w:p>
            <w:pPr>
              <w:spacing w:after="20" w:line="252" w:lineRule="auto"/>
              <w:ind w:left="150" w:hanging="150"/>
              <w:jc w:val="both"/>
            </w:pPr>
            <w:r>
              <w:rPr>
                <w:sz w:val="19"/>
                <w:szCs w:val="19"/>
              </w:rPr>
              <w:t xml:space="preserve">– 1.4.1 · §11 (asistencia en el patio digital).</w:t>
            </w:r>
          </w:p>
          <w:p>
            <w:pPr>
              <w:spacing w:after="20" w:line="252" w:lineRule="auto"/>
              <w:ind w:left="150" w:hanging="150"/>
              <w:jc w:val="both"/>
            </w:pPr>
            <w:r>
              <w:rPr>
                <w:sz w:val="19"/>
                <w:szCs w:val="19"/>
              </w:rPr>
              <w:t xml:space="preserve">– Leyes 2489/2025 y 2564/2026.</w:t>
            </w:r>
          </w:p>
          <w:p>
            <w:pPr>
              <w:spacing w:after="20" w:line="252" w:lineRule="auto"/>
              <w:ind w:left="150" w:hanging="150"/>
              <w:jc w:val="both"/>
            </w:pPr>
            <w:r>
              <w:rPr>
                <w:sz w:val="19"/>
                <w:szCs w:val="19"/>
              </w:rPr>
              <w:t xml:space="preserve">– 1.2.5 · D4 (seguridad y ciudadanía 76,3).</w:t>
            </w:r>
          </w:p>
        </w:tc>
        <w:tc>
          <w:tcPr>
            <w:tcW w:type="dxa" w:w="2000"/>
            <w:tcMar>
              <w:top w:type="dxa" w:w="60"/>
              <w:left w:type="dxa" w:w="90"/>
              <w:bottom w:type="dxa" w:w="60"/>
              <w:right w:type="dxa" w:w="90"/>
            </w:tcMar>
          </w:tcPr>
          <w:p>
            <w:pPr>
              <w:spacing w:after="20" w:line="252" w:lineRule="auto"/>
              <w:ind w:left="150" w:hanging="150"/>
              <w:jc w:val="both"/>
            </w:pPr>
            <w:r>
              <w:rPr>
                <w:sz w:val="19"/>
                <w:szCs w:val="19"/>
              </w:rPr>
              <w:t xml:space="preserve">– §7 Ambientes (patio digital).</w:t>
            </w:r>
          </w:p>
          <w:p>
            <w:pPr>
              <w:spacing w:after="20" w:line="252" w:lineRule="auto"/>
              <w:ind w:left="150" w:hanging="150"/>
              <w:jc w:val="both"/>
            </w:pPr>
            <w:r>
              <w:rPr>
                <w:sz w:val="19"/>
                <w:szCs w:val="19"/>
              </w:rPr>
              <w:t xml:space="preserve">– §8 Ciudadanía y bienestar digital.</w:t>
            </w:r>
          </w:p>
          <w:p>
            <w:pPr>
              <w:spacing w:after="20" w:line="252" w:lineRule="auto"/>
              <w:ind w:left="150" w:hanging="150"/>
              <w:jc w:val="both"/>
            </w:pPr>
            <w:r>
              <w:rPr>
                <w:sz w:val="19"/>
                <w:szCs w:val="19"/>
              </w:rPr>
              <w:t xml:space="preserve">– §11 Rol del docente.</w:t>
            </w:r>
          </w:p>
        </w:tc>
      </w:tr>
    </w:tbl>
    <w:p>
      <w:pPr>
        <w:pStyle w:val="Heading1"/>
      </w:pPr>
      <w:r>
        <w:t xml:space="preserve">B.4 El bienestar digital como puente</w:t>
      </w:r>
    </w:p>
    <w:p>
      <w:pPr>
        <w:spacing w:after="120"/>
        <w:jc w:val="both"/>
      </w:pPr>
      <w:r>
        <w:t xml:space="preserve">Las Leyes 2489 de 2025 y 2564 de 2026 —ciudadanía y seguridad digital, y bienestar digital y prevención de la violencia en línea— no son solo referentes del eje tecnológico: son la amabilidad preventiva hecha norma. Constituyen el puente entre el componente de innovación y la dimensión socioemocional y de convivencia, y encuentran su lugar natural en la lógica del Sistema Preventivo: prevenir antes que corregir, acompañar antes que sancionar. La reglamentación asociada (Decreto 769 de 2026) desarrolla la Ley 2564 de 2026.</w:t>
      </w:r>
    </w:p>
    <w:p>
      <w:pPr>
        <w:pStyle w:val="Heading1"/>
      </w:pPr>
      <w:r>
        <w:t xml:space="preserve">B.5 Criterios de discernimiento y límites</w:t>
      </w:r>
    </w:p>
    <w:p>
      <w:pPr>
        <w:spacing w:after="120"/>
        <w:jc w:val="both"/>
      </w:pPr>
      <w:r>
        <w:t xml:space="preserve">La articulación fija tanto lo que la tecnología habilita como lo que no sustituye. Como criterios de discernimiento del modelo:</w:t>
      </w:r>
    </w:p>
    <w:p>
      <w:pPr>
        <w:pStyle w:val="ListParagraph"/>
        <w:numPr>
          <w:ilvl w:val="0"/>
          <w:numId w:val="2"/>
        </w:numPr>
        <w:spacing w:after="60"/>
        <w:jc w:val="both"/>
      </w:pPr>
      <w:r>
        <w:rPr>
          <w:b/>
          <w:bCs/>
        </w:rPr>
        <w:t xml:space="preserve">Finalidad. </w:t>
      </w:r>
      <w:r>
        <w:t xml:space="preserve">toda mediación tecnológica se pregunta por su para qué y su para quién, y se subordina al desarrollo integral de la persona;</w:t>
      </w:r>
    </w:p>
    <w:p>
      <w:pPr>
        <w:pStyle w:val="ListParagraph"/>
        <w:numPr>
          <w:ilvl w:val="0"/>
          <w:numId w:val="2"/>
        </w:numPr>
        <w:spacing w:after="60"/>
        <w:jc w:val="both"/>
      </w:pPr>
      <w:r>
        <w:rPr>
          <w:b/>
          <w:bCs/>
        </w:rPr>
        <w:t xml:space="preserve">No sustitución. </w:t>
      </w:r>
      <w:r>
        <w:t xml:space="preserve">la presencia del educador, el encuentro, la interioridad y la relación educativa no se automatizan ni se delegan en la máquina;</w:t>
      </w:r>
    </w:p>
    <w:p>
      <w:pPr>
        <w:pStyle w:val="ListParagraph"/>
        <w:numPr>
          <w:ilvl w:val="0"/>
          <w:numId w:val="2"/>
        </w:numPr>
        <w:spacing w:after="60"/>
        <w:jc w:val="both"/>
      </w:pPr>
      <w:r>
        <w:rPr>
          <w:b/>
          <w:bCs/>
        </w:rPr>
        <w:t xml:space="preserve">Cuidado. </w:t>
      </w:r>
      <w:r>
        <w:t xml:space="preserve">el uso de datos e IA se rige por el cuidado, la protección de la persona y la prevención del daño.</w:t>
      </w:r>
    </w:p>
    <w:p>
      <w:pPr>
        <w:pStyle w:val="Heading1"/>
      </w:pPr>
      <w:r>
        <w:t xml:space="preserve">B.6 Nota para el equipo pastoral</w:t>
      </w:r>
    </w:p>
    <w:p>
      <w:pPr>
        <w:spacing w:after="120"/>
        <w:jc w:val="both"/>
      </w:pPr>
      <w:r>
        <w:t xml:space="preserve">Por tratarse de una tarea de responsabilidad compartida, esta articulación se presenta como propuesta abierta, no como redacción cerrada. Se invita a Rectoría y al equipo pastoral a ajustar su lenguaje y sus énfasis, de modo que la matriz recoja fielmente la manera en que la comunidad salesiana de la ENSMA vive y nombra el trinomio. La integración final del texto en el modelo corresponde a la institución (Tarea 1.4.4).</w:t>
      </w:r>
    </w:p>
    <w:p>
      <w:r>
        <w:br w:type="page"/>
      </w:r>
    </w:p>
    <w:p>
      <w:pPr>
        <w:pStyle w:val="Heading1"/>
      </w:pPr>
      <w:r>
        <w:t xml:space="preserve">Cierre: ruta de continuidad y adopción</w:t>
      </w:r>
    </w:p>
    <w:p>
      <w:pPr>
        <w:spacing w:after="120"/>
        <w:jc w:val="both"/>
      </w:pPr>
      <w:r>
        <w:t xml:space="preserve">Estos capítulos y su articulación se incorporan a la redacción integrada del modelo renovado, que lidera la ENSMA (Tarea 1.4.4), y se someten a validación institucional (Tarea 1.4.5). El modelo validado constituye el candado que habilita el desarrollo curricular de la Fase 4: solo entonces se construyen las mallas y se concreta, grado a grado, el hilo conductor aquí declarado.</w:t>
      </w:r>
    </w:p>
    <w:p>
      <w:pPr>
        <w:spacing w:after="120"/>
        <w:jc w:val="both"/>
      </w:pPr>
      <w:r>
        <w:rPr>
          <w:b/>
          <w:bCs/>
          <w:color w:val="1F4E79"/>
        </w:rPr>
        <w:t xml:space="preserve">Encuadre de adopción. </w:t>
      </w:r>
      <w:r>
        <w:t xml:space="preserve">EICIT propone, diseña y acompaña. La deliberación, la decisión y la adopción corresponden a la ENSMA, por la vía del Consejo Académico y del Consejo Directivo, y su formalización a la resolución rectoral. Este documento es una propuesta técnica para consideración de la institución.</w:t>
      </w:r>
    </w:p>
    <w:p>
      <w:pPr>
        <w:spacing w:after="80"/>
      </w:pPr>
      <w:r>
        <w:t xml:space="preserve"/>
      </w:r>
    </w:p>
    <w:p>
      <w:pPr>
        <w:pBdr>
          <w:bottom w:val="single" w:color="BF9000" w:sz="8" w:space="1"/>
        </w:pBdr>
        <w:spacing w:after="120"/>
      </w:pPr>
      <w:r>
        <w:t xml:space="preserve"/>
      </w:r>
    </w:p>
    <w:p>
      <w:r>
        <w:rPr>
          <w:b/>
          <w:bCs/>
          <w:color w:val="1F4E79"/>
          <w:sz w:val="22"/>
          <w:szCs w:val="22"/>
        </w:rPr>
        <w:t xml:space="preserve">Anexo — Trazabilidad de referentes e insumos</w:t>
      </w:r>
    </w:p>
    <w:p>
      <w:pPr>
        <w:spacing w:after="80"/>
      </w:pPr>
      <w:r>
        <w:t xml:space="preserve"/>
      </w:r>
    </w:p>
    <w:tbl>
      <w:tblPr>
        <w:tblW w:type="dxa" w:w="9972"/>
        <w:tblBorders>
          <w:top w:val="single" w:color="2E75B6" w:sz="4"/>
          <w:left w:val="single" w:color="2E75B6" w:sz="4"/>
          <w:bottom w:val="single" w:color="2E75B6" w:sz="4"/>
          <w:right w:val="single" w:color="2E75B6" w:sz="4"/>
          <w:insideH w:val="single" w:color="BFBFBF" w:sz="3"/>
          <w:insideV w:val="single" w:color="BFBFBF" w:sz="3"/>
        </w:tblBorders>
      </w:tblPr>
      <w:tblGrid>
        <w:gridCol w:w="2600"/>
        <w:gridCol w:w="1900"/>
        <w:gridCol w:w="3172"/>
        <w:gridCol w:w="2300"/>
      </w:tblGrid>
      <w:tr>
        <w:trPr>
          <w:tblHeader/>
        </w:trPr>
        <w:tc>
          <w:tcPr>
            <w:tcW w:type="dxa" w:w="2600"/>
            <w:shd w:fill="D5E8F0" w:color="auto" w:val="clear"/>
            <w:tcMar>
              <w:top w:type="dxa" w:w="60"/>
              <w:left w:type="dxa" w:w="90"/>
              <w:bottom w:type="dxa" w:w="60"/>
              <w:right w:type="dxa" w:w="90"/>
            </w:tcMar>
          </w:tcPr>
          <w:p>
            <w:pPr>
              <w:spacing w:after="20" w:line="264" w:lineRule="auto"/>
              <w:jc w:val="left"/>
            </w:pPr>
            <w:r>
              <w:rPr>
                <w:b/>
                <w:bCs/>
                <w:color w:val="1F4E79"/>
                <w:sz w:val="20"/>
                <w:szCs w:val="20"/>
              </w:rPr>
              <w:t xml:space="preserve">Referente / insumo</w:t>
            </w:r>
          </w:p>
        </w:tc>
        <w:tc>
          <w:tcPr>
            <w:tcW w:type="dxa" w:w="1900"/>
            <w:shd w:fill="D5E8F0" w:color="auto" w:val="clear"/>
            <w:tcMar>
              <w:top w:type="dxa" w:w="60"/>
              <w:left w:type="dxa" w:w="90"/>
              <w:bottom w:type="dxa" w:w="60"/>
              <w:right w:type="dxa" w:w="90"/>
            </w:tcMar>
          </w:tcPr>
          <w:p>
            <w:pPr>
              <w:spacing w:after="20" w:line="264" w:lineRule="auto"/>
              <w:jc w:val="left"/>
            </w:pPr>
            <w:r>
              <w:rPr>
                <w:b/>
                <w:bCs/>
                <w:color w:val="1F4E79"/>
                <w:sz w:val="20"/>
                <w:szCs w:val="20"/>
              </w:rPr>
              <w:t xml:space="preserve">Tipo</w:t>
            </w:r>
          </w:p>
        </w:tc>
        <w:tc>
          <w:tcPr>
            <w:tcW w:type="dxa" w:w="3172"/>
            <w:shd w:fill="D5E8F0" w:color="auto" w:val="clear"/>
            <w:tcMar>
              <w:top w:type="dxa" w:w="60"/>
              <w:left w:type="dxa" w:w="90"/>
              <w:bottom w:type="dxa" w:w="60"/>
              <w:right w:type="dxa" w:w="90"/>
            </w:tcMar>
          </w:tcPr>
          <w:p>
            <w:pPr>
              <w:spacing w:after="20" w:line="264" w:lineRule="auto"/>
              <w:jc w:val="left"/>
            </w:pPr>
            <w:r>
              <w:rPr>
                <w:b/>
                <w:bCs/>
                <w:color w:val="1F4E79"/>
                <w:sz w:val="20"/>
                <w:szCs w:val="20"/>
              </w:rPr>
              <w:t xml:space="preserve">Función</w:t>
            </w:r>
          </w:p>
        </w:tc>
        <w:tc>
          <w:tcPr>
            <w:tcW w:type="dxa" w:w="2300"/>
            <w:shd w:fill="D5E8F0" w:color="auto" w:val="clear"/>
            <w:tcMar>
              <w:top w:type="dxa" w:w="60"/>
              <w:left w:type="dxa" w:w="90"/>
              <w:bottom w:type="dxa" w:w="60"/>
              <w:right w:type="dxa" w:w="90"/>
            </w:tcMar>
          </w:tcPr>
          <w:p>
            <w:pPr>
              <w:spacing w:after="20" w:line="264" w:lineRule="auto"/>
              <w:jc w:val="left"/>
            </w:pPr>
            <w:r>
              <w:rPr>
                <w:b/>
                <w:bCs/>
                <w:color w:val="1F4E79"/>
                <w:sz w:val="20"/>
                <w:szCs w:val="20"/>
              </w:rPr>
              <w:t xml:space="preserve">Dónde incide</w:t>
            </w:r>
          </w:p>
        </w:tc>
      </w:tr>
      <w:tr>
        <w:tc>
          <w:tcPr>
            <w:tcW w:type="dxa" w:w="2600"/>
            <w:shd w:fill="D5E8F0" w:color="auto" w:val="clear"/>
            <w:tcMar>
              <w:top w:type="dxa" w:w="60"/>
              <w:left w:type="dxa" w:w="90"/>
              <w:bottom w:type="dxa" w:w="60"/>
              <w:right w:type="dxa" w:w="90"/>
            </w:tcMar>
          </w:tcPr>
          <w:p>
            <w:pPr>
              <w:spacing w:after="20" w:line="264" w:lineRule="auto"/>
              <w:jc w:val="both"/>
            </w:pPr>
            <w:r>
              <w:rPr>
                <w:b/>
                <w:bCs/>
                <w:sz w:val="20"/>
                <w:szCs w:val="20"/>
              </w:rPr>
              <w:t xml:space="preserve">Ley 2489 de 2025</w:t>
            </w:r>
          </w:p>
        </w:tc>
        <w:tc>
          <w:tcPr>
            <w:tcW w:type="dxa" w:w="1900"/>
            <w:tcMar>
              <w:top w:type="dxa" w:w="60"/>
              <w:left w:type="dxa" w:w="90"/>
              <w:bottom w:type="dxa" w:w="60"/>
              <w:right w:type="dxa" w:w="90"/>
            </w:tcMar>
          </w:tcPr>
          <w:p>
            <w:pPr>
              <w:spacing w:after="20" w:line="264" w:lineRule="auto"/>
              <w:jc w:val="both"/>
            </w:pPr>
            <w:r>
              <w:rPr>
                <w:b w:val="false"/>
                <w:bCs w:val="false"/>
                <w:sz w:val="20"/>
                <w:szCs w:val="20"/>
              </w:rPr>
              <w:t xml:space="preserve">Referente · obligatorio</w:t>
            </w:r>
          </w:p>
        </w:tc>
        <w:tc>
          <w:tcPr>
            <w:tcW w:type="dxa" w:w="3172"/>
            <w:tcMar>
              <w:top w:type="dxa" w:w="60"/>
              <w:left w:type="dxa" w:w="90"/>
              <w:bottom w:type="dxa" w:w="60"/>
              <w:right w:type="dxa" w:w="90"/>
            </w:tcMar>
          </w:tcPr>
          <w:p>
            <w:pPr>
              <w:spacing w:after="20" w:line="264" w:lineRule="auto"/>
              <w:jc w:val="both"/>
            </w:pPr>
            <w:r>
              <w:rPr>
                <w:b w:val="false"/>
                <w:bCs w:val="false"/>
                <w:sz w:val="20"/>
                <w:szCs w:val="20"/>
              </w:rPr>
              <w:t xml:space="preserve">Ciudadanía y seguridad digital del estudiantado.</w:t>
            </w:r>
          </w:p>
        </w:tc>
        <w:tc>
          <w:tcPr>
            <w:tcW w:type="dxa" w:w="2300"/>
            <w:tcMar>
              <w:top w:type="dxa" w:w="60"/>
              <w:left w:type="dxa" w:w="90"/>
              <w:bottom w:type="dxa" w:w="60"/>
              <w:right w:type="dxa" w:w="90"/>
            </w:tcMar>
          </w:tcPr>
          <w:p>
            <w:pPr>
              <w:spacing w:after="20" w:line="264" w:lineRule="auto"/>
              <w:jc w:val="both"/>
            </w:pPr>
            <w:r>
              <w:rPr>
                <w:b w:val="false"/>
                <w:bCs w:val="false"/>
                <w:sz w:val="20"/>
                <w:szCs w:val="20"/>
              </w:rPr>
              <w:t xml:space="preserve">Eje de ciudadanía digital · Manual de Convivencia</w:t>
            </w:r>
          </w:p>
        </w:tc>
      </w:tr>
      <w:tr>
        <w:tc>
          <w:tcPr>
            <w:tcW w:type="dxa" w:w="2600"/>
            <w:shd w:fill="D5E8F0" w:color="auto" w:val="clear"/>
            <w:tcMar>
              <w:top w:type="dxa" w:w="60"/>
              <w:left w:type="dxa" w:w="90"/>
              <w:bottom w:type="dxa" w:w="60"/>
              <w:right w:type="dxa" w:w="90"/>
            </w:tcMar>
          </w:tcPr>
          <w:p>
            <w:pPr>
              <w:spacing w:after="20" w:line="264" w:lineRule="auto"/>
              <w:jc w:val="both"/>
            </w:pPr>
            <w:r>
              <w:rPr>
                <w:b/>
                <w:bCs/>
                <w:sz w:val="20"/>
                <w:szCs w:val="20"/>
              </w:rPr>
              <w:t xml:space="preserve">Ley 2564 de 2026</w:t>
            </w:r>
          </w:p>
        </w:tc>
        <w:tc>
          <w:tcPr>
            <w:tcW w:type="dxa" w:w="1900"/>
            <w:tcMar>
              <w:top w:type="dxa" w:w="60"/>
              <w:left w:type="dxa" w:w="90"/>
              <w:bottom w:type="dxa" w:w="60"/>
              <w:right w:type="dxa" w:w="90"/>
            </w:tcMar>
          </w:tcPr>
          <w:p>
            <w:pPr>
              <w:spacing w:after="20" w:line="264" w:lineRule="auto"/>
              <w:jc w:val="both"/>
            </w:pPr>
            <w:r>
              <w:rPr>
                <w:b w:val="false"/>
                <w:bCs w:val="false"/>
                <w:sz w:val="20"/>
                <w:szCs w:val="20"/>
              </w:rPr>
              <w:t xml:space="preserve">Referente · obligatorio</w:t>
            </w:r>
          </w:p>
        </w:tc>
        <w:tc>
          <w:tcPr>
            <w:tcW w:type="dxa" w:w="3172"/>
            <w:tcMar>
              <w:top w:type="dxa" w:w="60"/>
              <w:left w:type="dxa" w:w="90"/>
              <w:bottom w:type="dxa" w:w="60"/>
              <w:right w:type="dxa" w:w="90"/>
            </w:tcMar>
          </w:tcPr>
          <w:p>
            <w:pPr>
              <w:spacing w:after="20" w:line="264" w:lineRule="auto"/>
              <w:jc w:val="both"/>
            </w:pPr>
            <w:r>
              <w:rPr>
                <w:b w:val="false"/>
                <w:bCs w:val="false"/>
                <w:sz w:val="20"/>
                <w:szCs w:val="20"/>
              </w:rPr>
              <w:t xml:space="preserve">Bienestar digital y prevención de la violencia en línea.</w:t>
            </w:r>
          </w:p>
        </w:tc>
        <w:tc>
          <w:tcPr>
            <w:tcW w:type="dxa" w:w="2300"/>
            <w:tcMar>
              <w:top w:type="dxa" w:w="60"/>
              <w:left w:type="dxa" w:w="90"/>
              <w:bottom w:type="dxa" w:w="60"/>
              <w:right w:type="dxa" w:w="90"/>
            </w:tcMar>
          </w:tcPr>
          <w:p>
            <w:pPr>
              <w:spacing w:after="20" w:line="264" w:lineRule="auto"/>
              <w:jc w:val="both"/>
            </w:pPr>
            <w:r>
              <w:rPr>
                <w:b w:val="false"/>
                <w:bCs w:val="false"/>
                <w:sz w:val="20"/>
                <w:szCs w:val="20"/>
              </w:rPr>
              <w:t xml:space="preserve">Convivencia · componente socioemocional</w:t>
            </w:r>
          </w:p>
        </w:tc>
      </w:tr>
      <w:tr>
        <w:tc>
          <w:tcPr>
            <w:tcW w:type="dxa" w:w="2600"/>
            <w:shd w:fill="D5E8F0" w:color="auto" w:val="clear"/>
            <w:tcMar>
              <w:top w:type="dxa" w:w="60"/>
              <w:left w:type="dxa" w:w="90"/>
              <w:bottom w:type="dxa" w:w="60"/>
              <w:right w:type="dxa" w:w="90"/>
            </w:tcMar>
          </w:tcPr>
          <w:p>
            <w:pPr>
              <w:spacing w:after="20" w:line="264" w:lineRule="auto"/>
              <w:jc w:val="both"/>
            </w:pPr>
            <w:r>
              <w:rPr>
                <w:b/>
                <w:bCs/>
                <w:sz w:val="20"/>
                <w:szCs w:val="20"/>
              </w:rPr>
              <w:t xml:space="preserve">Directiva MEN 01 de 2026</w:t>
            </w:r>
          </w:p>
        </w:tc>
        <w:tc>
          <w:tcPr>
            <w:tcW w:type="dxa" w:w="1900"/>
            <w:tcMar>
              <w:top w:type="dxa" w:w="60"/>
              <w:left w:type="dxa" w:w="90"/>
              <w:bottom w:type="dxa" w:w="60"/>
              <w:right w:type="dxa" w:w="90"/>
            </w:tcMar>
          </w:tcPr>
          <w:p>
            <w:pPr>
              <w:spacing w:after="20" w:line="264" w:lineRule="auto"/>
              <w:jc w:val="both"/>
            </w:pPr>
            <w:r>
              <w:rPr>
                <w:b w:val="false"/>
                <w:bCs w:val="false"/>
                <w:sz w:val="20"/>
                <w:szCs w:val="20"/>
              </w:rPr>
              <w:t xml:space="preserve">Referente · orientador</w:t>
            </w:r>
          </w:p>
        </w:tc>
        <w:tc>
          <w:tcPr>
            <w:tcW w:type="dxa" w:w="3172"/>
            <w:tcMar>
              <w:top w:type="dxa" w:w="60"/>
              <w:left w:type="dxa" w:w="90"/>
              <w:bottom w:type="dxa" w:w="60"/>
              <w:right w:type="dxa" w:w="90"/>
            </w:tcMar>
          </w:tcPr>
          <w:p>
            <w:pPr>
              <w:spacing w:after="20" w:line="264" w:lineRule="auto"/>
              <w:jc w:val="both"/>
            </w:pPr>
            <w:r>
              <w:rPr>
                <w:b w:val="false"/>
                <w:bCs w:val="false"/>
                <w:sz w:val="20"/>
                <w:szCs w:val="20"/>
              </w:rPr>
              <w:t xml:space="preserve">Guía del uso seguro y pedagógico de TIC/IA con estudiantes.</w:t>
            </w:r>
          </w:p>
        </w:tc>
        <w:tc>
          <w:tcPr>
            <w:tcW w:type="dxa" w:w="2300"/>
            <w:tcMar>
              <w:top w:type="dxa" w:w="60"/>
              <w:left w:type="dxa" w:w="90"/>
              <w:bottom w:type="dxa" w:w="60"/>
              <w:right w:type="dxa" w:w="90"/>
            </w:tcMar>
          </w:tcPr>
          <w:p>
            <w:pPr>
              <w:spacing w:after="20" w:line="264" w:lineRule="auto"/>
              <w:jc w:val="both"/>
            </w:pPr>
            <w:r>
              <w:rPr>
                <w:b w:val="false"/>
                <w:bCs w:val="false"/>
                <w:sz w:val="20"/>
                <w:szCs w:val="20"/>
              </w:rPr>
              <w:t xml:space="preserve">Modelo (mediación) · plan de estudios · Diplomado</w:t>
            </w:r>
          </w:p>
        </w:tc>
      </w:tr>
      <w:tr>
        <w:tc>
          <w:tcPr>
            <w:tcW w:type="dxa" w:w="2600"/>
            <w:shd w:fill="D5E8F0" w:color="auto" w:val="clear"/>
            <w:tcMar>
              <w:top w:type="dxa" w:w="60"/>
              <w:left w:type="dxa" w:w="90"/>
              <w:bottom w:type="dxa" w:w="60"/>
              <w:right w:type="dxa" w:w="90"/>
            </w:tcMar>
          </w:tcPr>
          <w:p>
            <w:pPr>
              <w:spacing w:after="20" w:line="264" w:lineRule="auto"/>
              <w:jc w:val="both"/>
            </w:pPr>
            <w:r>
              <w:rPr>
                <w:b/>
                <w:bCs/>
                <w:sz w:val="20"/>
                <w:szCs w:val="20"/>
              </w:rPr>
              <w:t xml:space="preserve">Orientaciones ESA con TIC</w:t>
            </w:r>
          </w:p>
        </w:tc>
        <w:tc>
          <w:tcPr>
            <w:tcW w:type="dxa" w:w="1900"/>
            <w:tcMar>
              <w:top w:type="dxa" w:w="60"/>
              <w:left w:type="dxa" w:w="90"/>
              <w:bottom w:type="dxa" w:w="60"/>
              <w:right w:type="dxa" w:w="90"/>
            </w:tcMar>
          </w:tcPr>
          <w:p>
            <w:pPr>
              <w:spacing w:after="20" w:line="264" w:lineRule="auto"/>
              <w:jc w:val="both"/>
            </w:pPr>
            <w:r>
              <w:rPr>
                <w:b w:val="false"/>
                <w:bCs w:val="false"/>
                <w:sz w:val="20"/>
                <w:szCs w:val="20"/>
              </w:rPr>
              <w:t xml:space="preserve">Referente · orientador</w:t>
            </w:r>
          </w:p>
        </w:tc>
        <w:tc>
          <w:tcPr>
            <w:tcW w:type="dxa" w:w="3172"/>
            <w:tcMar>
              <w:top w:type="dxa" w:w="60"/>
              <w:left w:type="dxa" w:w="90"/>
              <w:bottom w:type="dxa" w:w="60"/>
              <w:right w:type="dxa" w:w="90"/>
            </w:tcMar>
          </w:tcPr>
          <w:p>
            <w:pPr>
              <w:spacing w:after="20" w:line="264" w:lineRule="auto"/>
              <w:jc w:val="both"/>
            </w:pPr>
            <w:r>
              <w:rPr>
                <w:b w:val="false"/>
                <w:bCs w:val="false"/>
                <w:sz w:val="20"/>
                <w:szCs w:val="20"/>
              </w:rPr>
              <w:t xml:space="preserve">Entornos escolares seguros mediados por TIC.</w:t>
            </w:r>
          </w:p>
        </w:tc>
        <w:tc>
          <w:tcPr>
            <w:tcW w:type="dxa" w:w="2300"/>
            <w:tcMar>
              <w:top w:type="dxa" w:w="60"/>
              <w:left w:type="dxa" w:w="90"/>
              <w:bottom w:type="dxa" w:w="60"/>
              <w:right w:type="dxa" w:w="90"/>
            </w:tcMar>
          </w:tcPr>
          <w:p>
            <w:pPr>
              <w:spacing w:after="20" w:line="264" w:lineRule="auto"/>
              <w:jc w:val="both"/>
            </w:pPr>
            <w:r>
              <w:rPr>
                <w:b w:val="false"/>
                <w:bCs w:val="false"/>
                <w:sz w:val="20"/>
                <w:szCs w:val="20"/>
              </w:rPr>
              <w:t xml:space="preserve">Manual de Convivencia</w:t>
            </w:r>
          </w:p>
        </w:tc>
      </w:tr>
      <w:tr>
        <w:tc>
          <w:tcPr>
            <w:tcW w:type="dxa" w:w="2600"/>
            <w:shd w:fill="D5E8F0" w:color="auto" w:val="clear"/>
            <w:tcMar>
              <w:top w:type="dxa" w:w="60"/>
              <w:left w:type="dxa" w:w="90"/>
              <w:bottom w:type="dxa" w:w="60"/>
              <w:right w:type="dxa" w:w="90"/>
            </w:tcMar>
          </w:tcPr>
          <w:p>
            <w:pPr>
              <w:spacing w:after="20" w:line="264" w:lineRule="auto"/>
              <w:jc w:val="both"/>
            </w:pPr>
            <w:r>
              <w:rPr>
                <w:b/>
                <w:bCs/>
                <w:sz w:val="20"/>
                <w:szCs w:val="20"/>
              </w:rPr>
              <w:t xml:space="preserve">Decreto 769 de 2026</w:t>
            </w:r>
          </w:p>
        </w:tc>
        <w:tc>
          <w:tcPr>
            <w:tcW w:type="dxa" w:w="1900"/>
            <w:tcMar>
              <w:top w:type="dxa" w:w="60"/>
              <w:left w:type="dxa" w:w="90"/>
              <w:bottom w:type="dxa" w:w="60"/>
              <w:right w:type="dxa" w:w="90"/>
            </w:tcMar>
          </w:tcPr>
          <w:p>
            <w:pPr>
              <w:spacing w:after="20" w:line="264" w:lineRule="auto"/>
              <w:jc w:val="both"/>
            </w:pPr>
            <w:r>
              <w:rPr>
                <w:b w:val="false"/>
                <w:bCs w:val="false"/>
                <w:sz w:val="20"/>
                <w:szCs w:val="20"/>
              </w:rPr>
              <w:t xml:space="preserve">Reglamentación</w:t>
            </w:r>
          </w:p>
        </w:tc>
        <w:tc>
          <w:tcPr>
            <w:tcW w:type="dxa" w:w="3172"/>
            <w:tcMar>
              <w:top w:type="dxa" w:w="60"/>
              <w:left w:type="dxa" w:w="90"/>
              <w:bottom w:type="dxa" w:w="60"/>
              <w:right w:type="dxa" w:w="90"/>
            </w:tcMar>
          </w:tcPr>
          <w:p>
            <w:pPr>
              <w:spacing w:after="20" w:line="264" w:lineRule="auto"/>
              <w:jc w:val="both"/>
            </w:pPr>
            <w:r>
              <w:rPr>
                <w:b w:val="false"/>
                <w:bCs w:val="false"/>
                <w:sz w:val="20"/>
                <w:szCs w:val="20"/>
              </w:rPr>
              <w:t xml:space="preserve">Reglamenta la Ley 2564 de 2026.</w:t>
            </w:r>
          </w:p>
        </w:tc>
        <w:tc>
          <w:tcPr>
            <w:tcW w:type="dxa" w:w="2300"/>
            <w:tcMar>
              <w:top w:type="dxa" w:w="60"/>
              <w:left w:type="dxa" w:w="90"/>
              <w:bottom w:type="dxa" w:w="60"/>
              <w:right w:type="dxa" w:w="90"/>
            </w:tcMar>
          </w:tcPr>
          <w:p>
            <w:pPr>
              <w:spacing w:after="20" w:line="264" w:lineRule="auto"/>
              <w:jc w:val="both"/>
            </w:pPr>
            <w:r>
              <w:rPr>
                <w:b w:val="false"/>
                <w:bCs w:val="false"/>
                <w:sz w:val="20"/>
                <w:szCs w:val="20"/>
              </w:rPr>
              <w:t xml:space="preserve">Línea de referentes · convivencia</w:t>
            </w:r>
          </w:p>
        </w:tc>
      </w:tr>
      <w:tr>
        <w:tc>
          <w:tcPr>
            <w:tcW w:type="dxa" w:w="2600"/>
            <w:shd w:fill="D5E8F0" w:color="auto" w:val="clear"/>
            <w:tcMar>
              <w:top w:type="dxa" w:w="60"/>
              <w:left w:type="dxa" w:w="90"/>
              <w:bottom w:type="dxa" w:w="60"/>
              <w:right w:type="dxa" w:w="90"/>
            </w:tcMar>
          </w:tcPr>
          <w:p>
            <w:pPr>
              <w:spacing w:after="20" w:line="264" w:lineRule="auto"/>
              <w:jc w:val="both"/>
            </w:pPr>
            <w:r>
              <w:rPr>
                <w:b/>
                <w:bCs/>
                <w:sz w:val="20"/>
                <w:szCs w:val="20"/>
              </w:rPr>
              <w:t xml:space="preserve">Diplomado en IA (1.7 / F6)</w:t>
            </w:r>
          </w:p>
        </w:tc>
        <w:tc>
          <w:tcPr>
            <w:tcW w:type="dxa" w:w="1900"/>
            <w:tcMar>
              <w:top w:type="dxa" w:w="60"/>
              <w:left w:type="dxa" w:w="90"/>
              <w:bottom w:type="dxa" w:w="60"/>
              <w:right w:type="dxa" w:w="90"/>
            </w:tcMar>
          </w:tcPr>
          <w:p>
            <w:pPr>
              <w:spacing w:after="20" w:line="264" w:lineRule="auto"/>
              <w:jc w:val="both"/>
            </w:pPr>
            <w:r>
              <w:rPr>
                <w:b w:val="false"/>
                <w:bCs w:val="false"/>
                <w:sz w:val="20"/>
                <w:szCs w:val="20"/>
              </w:rPr>
              <w:t xml:space="preserve">Anclaje del proyecto</w:t>
            </w:r>
          </w:p>
        </w:tc>
        <w:tc>
          <w:tcPr>
            <w:tcW w:type="dxa" w:w="3172"/>
            <w:tcMar>
              <w:top w:type="dxa" w:w="60"/>
              <w:left w:type="dxa" w:w="90"/>
              <w:bottom w:type="dxa" w:w="60"/>
              <w:right w:type="dxa" w:w="90"/>
            </w:tcMar>
          </w:tcPr>
          <w:p>
            <w:pPr>
              <w:spacing w:after="20" w:line="264" w:lineRule="auto"/>
              <w:jc w:val="both"/>
            </w:pPr>
            <w:r>
              <w:rPr>
                <w:b w:val="false"/>
                <w:bCs w:val="false"/>
                <w:sz w:val="20"/>
                <w:szCs w:val="20"/>
              </w:rPr>
              <w:t xml:space="preserve">Formación docente en IA (usuario → diseñador crítico → multiplicador).</w:t>
            </w:r>
          </w:p>
        </w:tc>
        <w:tc>
          <w:tcPr>
            <w:tcW w:type="dxa" w:w="2300"/>
            <w:tcMar>
              <w:top w:type="dxa" w:w="60"/>
              <w:left w:type="dxa" w:w="90"/>
              <w:bottom w:type="dxa" w:w="60"/>
              <w:right w:type="dxa" w:w="90"/>
            </w:tcMar>
          </w:tcPr>
          <w:p>
            <w:pPr>
              <w:spacing w:after="20" w:line="264" w:lineRule="auto"/>
              <w:jc w:val="both"/>
            </w:pPr>
            <w:r>
              <w:rPr>
                <w:b w:val="false"/>
                <w:bCs w:val="false"/>
                <w:sz w:val="20"/>
                <w:szCs w:val="20"/>
              </w:rPr>
              <w:t xml:space="preserve">Rol docente · formación</w:t>
            </w:r>
          </w:p>
        </w:tc>
      </w:tr>
      <w:tr>
        <w:tc>
          <w:tcPr>
            <w:tcW w:type="dxa" w:w="2600"/>
            <w:shd w:fill="D5E8F0" w:color="auto" w:val="clear"/>
            <w:tcMar>
              <w:top w:type="dxa" w:w="60"/>
              <w:left w:type="dxa" w:w="90"/>
              <w:bottom w:type="dxa" w:w="60"/>
              <w:right w:type="dxa" w:w="90"/>
            </w:tcMar>
          </w:tcPr>
          <w:p>
            <w:pPr>
              <w:spacing w:after="20" w:line="264" w:lineRule="auto"/>
              <w:jc w:val="both"/>
            </w:pPr>
            <w:r>
              <w:rPr>
                <w:b/>
                <w:bCs/>
                <w:sz w:val="20"/>
                <w:szCs w:val="20"/>
              </w:rPr>
              <w:t xml:space="preserve">Línea transversal de TIC (1.5.4)</w:t>
            </w:r>
          </w:p>
        </w:tc>
        <w:tc>
          <w:tcPr>
            <w:tcW w:type="dxa" w:w="1900"/>
            <w:tcMar>
              <w:top w:type="dxa" w:w="60"/>
              <w:left w:type="dxa" w:w="90"/>
              <w:bottom w:type="dxa" w:w="60"/>
              <w:right w:type="dxa" w:w="90"/>
            </w:tcMar>
          </w:tcPr>
          <w:p>
            <w:pPr>
              <w:spacing w:after="20" w:line="264" w:lineRule="auto"/>
              <w:jc w:val="both"/>
            </w:pPr>
            <w:r>
              <w:rPr>
                <w:b w:val="false"/>
                <w:bCs w:val="false"/>
                <w:sz w:val="20"/>
                <w:szCs w:val="20"/>
              </w:rPr>
              <w:t xml:space="preserve">Anclaje del proyecto</w:t>
            </w:r>
          </w:p>
        </w:tc>
        <w:tc>
          <w:tcPr>
            <w:tcW w:type="dxa" w:w="3172"/>
            <w:tcMar>
              <w:top w:type="dxa" w:w="60"/>
              <w:left w:type="dxa" w:w="90"/>
              <w:bottom w:type="dxa" w:w="60"/>
              <w:right w:type="dxa" w:w="90"/>
            </w:tcMar>
          </w:tcPr>
          <w:p>
            <w:pPr>
              <w:spacing w:after="20" w:line="264" w:lineRule="auto"/>
              <w:jc w:val="both"/>
            </w:pPr>
            <w:r>
              <w:rPr>
                <w:b w:val="false"/>
                <w:bCs w:val="false"/>
                <w:sz w:val="20"/>
                <w:szCs w:val="20"/>
              </w:rPr>
              <w:t xml:space="preserve">Concreción curricular del hilo conductor.</w:t>
            </w:r>
          </w:p>
        </w:tc>
        <w:tc>
          <w:tcPr>
            <w:tcW w:type="dxa" w:w="2300"/>
            <w:tcMar>
              <w:top w:type="dxa" w:w="60"/>
              <w:left w:type="dxa" w:w="90"/>
              <w:bottom w:type="dxa" w:w="60"/>
              <w:right w:type="dxa" w:w="90"/>
            </w:tcMar>
          </w:tcPr>
          <w:p>
            <w:pPr>
              <w:spacing w:after="20" w:line="264" w:lineRule="auto"/>
              <w:jc w:val="both"/>
            </w:pPr>
            <w:r>
              <w:rPr>
                <w:b w:val="false"/>
                <w:bCs w:val="false"/>
                <w:sz w:val="20"/>
                <w:szCs w:val="20"/>
              </w:rPr>
              <w:t xml:space="preserve">Mallas (Fase 4)</w:t>
            </w:r>
          </w:p>
        </w:tc>
      </w:tr>
      <w:tr>
        <w:tc>
          <w:tcPr>
            <w:tcW w:type="dxa" w:w="2600"/>
            <w:shd w:fill="D5E8F0" w:color="auto" w:val="clear"/>
            <w:tcMar>
              <w:top w:type="dxa" w:w="60"/>
              <w:left w:type="dxa" w:w="90"/>
              <w:bottom w:type="dxa" w:w="60"/>
              <w:right w:type="dxa" w:w="90"/>
            </w:tcMar>
          </w:tcPr>
          <w:p>
            <w:pPr>
              <w:spacing w:after="20" w:line="264" w:lineRule="auto"/>
              <w:jc w:val="both"/>
            </w:pPr>
            <w:r>
              <w:rPr>
                <w:b/>
                <w:bCs/>
                <w:sz w:val="20"/>
                <w:szCs w:val="20"/>
              </w:rPr>
              <w:t xml:space="preserve">Competencias digitales docentes (1.2.5)</w:t>
            </w:r>
          </w:p>
        </w:tc>
        <w:tc>
          <w:tcPr>
            <w:tcW w:type="dxa" w:w="1900"/>
            <w:tcMar>
              <w:top w:type="dxa" w:w="60"/>
              <w:left w:type="dxa" w:w="90"/>
              <w:bottom w:type="dxa" w:w="60"/>
              <w:right w:type="dxa" w:w="90"/>
            </w:tcMar>
          </w:tcPr>
          <w:p>
            <w:pPr>
              <w:spacing w:after="20" w:line="264" w:lineRule="auto"/>
              <w:jc w:val="both"/>
            </w:pPr>
            <w:r>
              <w:rPr>
                <w:b w:val="false"/>
                <w:bCs w:val="false"/>
                <w:sz w:val="20"/>
                <w:szCs w:val="20"/>
              </w:rPr>
              <w:t xml:space="preserve">Anclaje del proyecto</w:t>
            </w:r>
          </w:p>
        </w:tc>
        <w:tc>
          <w:tcPr>
            <w:tcW w:type="dxa" w:w="3172"/>
            <w:tcMar>
              <w:top w:type="dxa" w:w="60"/>
              <w:left w:type="dxa" w:w="90"/>
              <w:bottom w:type="dxa" w:w="60"/>
              <w:right w:type="dxa" w:w="90"/>
            </w:tcMar>
          </w:tcPr>
          <w:p>
            <w:pPr>
              <w:spacing w:after="20" w:line="264" w:lineRule="auto"/>
              <w:jc w:val="both"/>
            </w:pPr>
            <w:r>
              <w:rPr>
                <w:b w:val="false"/>
                <w:bCs w:val="false"/>
                <w:sz w:val="20"/>
                <w:szCs w:val="20"/>
              </w:rPr>
              <w:t xml:space="preserve">Línea base (índice 79,4) e indicador de avance.</w:t>
            </w:r>
          </w:p>
        </w:tc>
        <w:tc>
          <w:tcPr>
            <w:tcW w:type="dxa" w:w="2300"/>
            <w:tcMar>
              <w:top w:type="dxa" w:w="60"/>
              <w:left w:type="dxa" w:w="90"/>
              <w:bottom w:type="dxa" w:w="60"/>
              <w:right w:type="dxa" w:w="90"/>
            </w:tcMar>
          </w:tcPr>
          <w:p>
            <w:pPr>
              <w:spacing w:after="20" w:line="264" w:lineRule="auto"/>
              <w:jc w:val="both"/>
            </w:pPr>
            <w:r>
              <w:rPr>
                <w:b w:val="false"/>
                <w:bCs w:val="false"/>
                <w:sz w:val="20"/>
                <w:szCs w:val="20"/>
              </w:rPr>
              <w:t xml:space="preserve">Transverso de calidad</w:t>
            </w:r>
          </w:p>
        </w:tc>
      </w:tr>
      <w:tr>
        <w:tc>
          <w:tcPr>
            <w:tcW w:type="dxa" w:w="2600"/>
            <w:shd w:fill="D5E8F0" w:color="auto" w:val="clear"/>
            <w:tcMar>
              <w:top w:type="dxa" w:w="60"/>
              <w:left w:type="dxa" w:w="90"/>
              <w:bottom w:type="dxa" w:w="60"/>
              <w:right w:type="dxa" w:w="90"/>
            </w:tcMar>
          </w:tcPr>
          <w:p>
            <w:pPr>
              <w:spacing w:after="20" w:line="264" w:lineRule="auto"/>
              <w:jc w:val="both"/>
            </w:pPr>
            <w:r>
              <w:rPr>
                <w:b/>
                <w:bCs/>
                <w:sz w:val="20"/>
                <w:szCs w:val="20"/>
              </w:rPr>
              <w:t xml:space="preserve">PEI vigente §2.2 y §3.2</w:t>
            </w:r>
          </w:p>
        </w:tc>
        <w:tc>
          <w:tcPr>
            <w:tcW w:type="dxa" w:w="1900"/>
            <w:tcMar>
              <w:top w:type="dxa" w:w="60"/>
              <w:left w:type="dxa" w:w="90"/>
              <w:bottom w:type="dxa" w:w="60"/>
              <w:right w:type="dxa" w:w="90"/>
            </w:tcMar>
          </w:tcPr>
          <w:p>
            <w:pPr>
              <w:spacing w:after="20" w:line="264" w:lineRule="auto"/>
              <w:jc w:val="both"/>
            </w:pPr>
            <w:r>
              <w:rPr>
                <w:b w:val="false"/>
                <w:bCs w:val="false"/>
                <w:sz w:val="20"/>
                <w:szCs w:val="20"/>
              </w:rPr>
              <w:t xml:space="preserve">Insumo institucional</w:t>
            </w:r>
          </w:p>
        </w:tc>
        <w:tc>
          <w:tcPr>
            <w:tcW w:type="dxa" w:w="3172"/>
            <w:tcMar>
              <w:top w:type="dxa" w:w="60"/>
              <w:left w:type="dxa" w:w="90"/>
              <w:bottom w:type="dxa" w:w="60"/>
              <w:right w:type="dxa" w:w="90"/>
            </w:tcMar>
          </w:tcPr>
          <w:p>
            <w:pPr>
              <w:spacing w:after="20" w:line="264" w:lineRule="auto"/>
              <w:jc w:val="both"/>
            </w:pPr>
            <w:r>
              <w:rPr>
                <w:b w:val="false"/>
                <w:bCs w:val="false"/>
                <w:sz w:val="20"/>
                <w:szCs w:val="20"/>
              </w:rPr>
              <w:t xml:space="preserve">Sistema Preventivo, trinomio del carisma y modelo pedagógico.</w:t>
            </w:r>
          </w:p>
        </w:tc>
        <w:tc>
          <w:tcPr>
            <w:tcW w:type="dxa" w:w="2300"/>
            <w:tcMar>
              <w:top w:type="dxa" w:w="60"/>
              <w:left w:type="dxa" w:w="90"/>
              <w:bottom w:type="dxa" w:w="60"/>
              <w:right w:type="dxa" w:w="90"/>
            </w:tcMar>
          </w:tcPr>
          <w:p>
            <w:pPr>
              <w:spacing w:after="20" w:line="264" w:lineRule="auto"/>
              <w:jc w:val="both"/>
            </w:pPr>
            <w:r>
              <w:rPr>
                <w:b w:val="false"/>
                <w:bCs w:val="false"/>
                <w:sz w:val="20"/>
                <w:szCs w:val="20"/>
              </w:rPr>
              <w:t xml:space="preserve">Fundamentos · enfoque · articulación (Parte B)</w:t>
            </w:r>
          </w:p>
        </w:tc>
      </w:tr>
    </w:tbl>
    <w:sectPr>
      <w:pgSz w:w="12240" w:h="1872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20" w:before="260" w:line="300" w:lineRule="auto"/>
    </w:pPr>
    <w:rPr>
      <w:rFonts w:ascii="Calibri" w:cs="Calibri" w:eastAsia="Calibri" w:hAnsi="Calibri"/>
      <w:b/>
      <w:bCs/>
      <w:color w:val="1F4E79"/>
      <w:sz w:val="28"/>
      <w:szCs w:val="28"/>
    </w:rPr>
  </w:style>
  <w:style w:type="paragraph" w:styleId="Heading2">
    <w:name w:val="Heading 2"/>
    <w:basedOn w:val="Normal"/>
    <w:next w:val="Normal"/>
    <w:qFormat/>
    <w:pPr>
      <w:keepNext/>
      <w:spacing w:after="100" w:before="200"/>
    </w:pPr>
    <w:rPr>
      <w:rFonts w:ascii="Calibri" w:cs="Calibri" w:eastAsia="Calibri" w:hAnsi="Calibri"/>
      <w:b/>
      <w:bCs/>
      <w:color w:val="2E75B6"/>
      <w:sz w:val="24"/>
      <w:szCs w:val="24"/>
    </w:rPr>
  </w:style>
  <w:style w:type="paragraph" w:styleId="Heading3">
    <w:name w:val="Heading 3"/>
    <w:basedOn w:val="Normal"/>
    <w:next w:val="Normal"/>
    <w:qFormat/>
    <w:pPr>
      <w:keepNext/>
      <w:spacing w:after="80" w:before="160"/>
    </w:pPr>
    <w:rPr>
      <w:rFonts w:ascii="Calibri" w:cs="Calibri" w:eastAsia="Calibri" w:hAnsi="Calibri"/>
      <w:b/>
      <w:bCs/>
      <w:color w:val="BF9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EICIT_ENSMA_1.4.2-1.4.3 · Innovación y tecnología del modelo · Articulación con el carisma</dc:title>
  <dc:creator>EICIT IA — asistencia técnica</dc:creator>
  <dc:description>Documento maestro Fase 3 · Tareas 1.4.2 y 1.4.3</dc:description>
  <cp:lastModifiedBy>EICIT IA — asistencia técnica</cp:lastModifiedBy>
  <cp:revision>1</cp:revision>
  <dcterms:created xsi:type="dcterms:W3CDTF">2026-09-05T16:16:41Z</dcterms:created>
  <dcterms:modified xsi:type="dcterms:W3CDTF">2026-09-05T16:16:41Z</dcterms:modified>
</cp:coreProperties>
</file>

<file path=docProps/custom.xml><?xml version="1.0" encoding="utf-8"?>
<Properties xmlns="http://schemas.openxmlformats.org/officeDocument/2006/custom-properties" xmlns:vt="http://schemas.openxmlformats.org/officeDocument/2006/docPropsVTypes"/>
</file>