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1A730EE5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97610" w14:textId="77777777" w:rsidR="00B11C0E" w:rsidRPr="00B86F14" w:rsidRDefault="00000000" w:rsidP="003B69C0">
            <w:pPr>
              <w:spacing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26"/>
                <w:szCs w:val="26"/>
              </w:rPr>
              <w:t>COLEGIO MARÍA AUXILIADORA DE SOACHA</w:t>
            </w:r>
          </w:p>
        </w:tc>
      </w:tr>
      <w:tr w:rsidR="00B11C0E" w:rsidRPr="00B86F14" w14:paraId="1D84A38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F1AD1" w14:textId="77777777" w:rsidR="00B11C0E" w:rsidRPr="00B86F14" w:rsidRDefault="00000000" w:rsidP="003B69C0">
            <w:pPr>
              <w:spacing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FORMATO INSTITUCIONAL DE PLAN DE ESTUDIOS POR ÁREA / ASIGNATURA — ENFOQUE DE FORMACIÓN POR COMPETENCIAS</w:t>
            </w:r>
          </w:p>
        </w:tc>
      </w:tr>
      <w:tr w:rsidR="00B11C0E" w:rsidRPr="00B86F14" w14:paraId="1FD7F95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28FEC" w14:textId="77777777" w:rsidR="00B11C0E" w:rsidRPr="00B86F14" w:rsidRDefault="00000000" w:rsidP="003B69C0">
            <w:pPr>
              <w:spacing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sz w:val="18"/>
                <w:szCs w:val="18"/>
              </w:rPr>
              <w:t>Educación formal — Preescolar, Básica y Media (Ley 115 de 1994, Decreto 1075 de 2015). Referentes de calidad MEN: EBC, DBA, lineamientos y orientaciones pedagógicas. Evaluación conforme al SIEE (Decreto 1290 de 2009).</w:t>
            </w:r>
          </w:p>
        </w:tc>
      </w:tr>
    </w:tbl>
    <w:p w14:paraId="3B85900B" w14:textId="739A2865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5AF81341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3BF21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1. IDENTIFICACIÓN</w:t>
            </w:r>
          </w:p>
        </w:tc>
      </w:tr>
    </w:tbl>
    <w:p w14:paraId="7A077C47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826"/>
        <w:gridCol w:w="3400"/>
        <w:gridCol w:w="4826"/>
      </w:tblGrid>
      <w:tr w:rsidR="00B11C0E" w:rsidRPr="00B86F14" w14:paraId="0DB7F2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79D9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Establecimiento educativo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47B32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</w:rPr>
              <w:t>Colegio María Auxiliadora de Soacha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71DD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Carácter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13B9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Privado · confesional (Comunidad Salesiana)</w:t>
            </w:r>
          </w:p>
        </w:tc>
      </w:tr>
      <w:tr w:rsidR="00B11C0E" w:rsidRPr="00B86F14" w14:paraId="2F2A15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7B476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Área (art. 23, Ley 115) / optativa / proyecto transversal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3050F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Ej.: Matemáticas · Ciencias Naturales · Tecnología e Informática · optativa · proyecto (PRAE, Cátedra de la Paz…)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5E36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Asignatura(s) que integran el área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1767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Ej.: Matemáticas, Estadística, Geometría</w:t>
            </w:r>
          </w:p>
        </w:tc>
      </w:tr>
      <w:tr w:rsidR="00B11C0E" w:rsidRPr="00B86F14" w14:paraId="19ED80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5CC6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Nivel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EF52A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Preescolar · Básica primaria · Básica secundaria · Media (académica / técnica)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0283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Ciclo del modelo pedagógico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DB2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Según la organización por ciclos del modelo pedagógico validado</w:t>
            </w:r>
          </w:p>
        </w:tc>
      </w:tr>
      <w:tr w:rsidR="00B11C0E" w:rsidRPr="00B86F14" w14:paraId="463874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B078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Grado(s)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BDA3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Ej.: Décimo (10°)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F87F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 xml:space="preserve">Año lectivo / </w:t>
            </w:r>
            <w:proofErr w:type="spellStart"/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N.°</w:t>
            </w:r>
            <w:proofErr w:type="spellEnd"/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 xml:space="preserve"> de períodos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EC3BF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Ej.: 2026 · 4 períodos</w:t>
            </w:r>
          </w:p>
        </w:tc>
      </w:tr>
      <w:tr w:rsidR="00B11C0E" w:rsidRPr="00B86F14" w14:paraId="5CFA85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B74F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Intensidad horaria semanal / anual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3DC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Horas semanales y total anual (Ley 115, arts. 31–32)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901C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Docente(s) responsable(s)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67DF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Nombre(s) del/los docente(s)</w:t>
            </w:r>
          </w:p>
        </w:tc>
      </w:tr>
      <w:tr w:rsidR="00B11C0E" w:rsidRPr="00B86F14" w14:paraId="6D3DBD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CAE1E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Jefe de área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656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Nombre del jefe de área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E01B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Fecha de elaboración / versión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D4A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dd</w:t>
            </w:r>
            <w:proofErr w:type="spellEnd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/mm/</w:t>
            </w: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aaaa</w:t>
            </w:r>
            <w:proofErr w:type="spellEnd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· v.___</w:t>
            </w:r>
          </w:p>
        </w:tc>
      </w:tr>
    </w:tbl>
    <w:p w14:paraId="74967E4F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4AE01363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8A1B2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2. FUNDAMENTACIÓN DEL ÁREA</w:t>
            </w:r>
          </w:p>
        </w:tc>
      </w:tr>
    </w:tbl>
    <w:p w14:paraId="1154A21F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79CF801A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C3AFA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2.1 Referentes de calidad del MEN aplicables al área (marque y cite versión/año)</w:t>
            </w:r>
          </w:p>
        </w:tc>
      </w:tr>
    </w:tbl>
    <w:p w14:paraId="28726C3E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2742"/>
        <w:gridCol w:w="2742"/>
        <w:gridCol w:w="2742"/>
        <w:gridCol w:w="2742"/>
        <w:gridCol w:w="2742"/>
      </w:tblGrid>
      <w:tr w:rsidR="00B11C0E" w:rsidRPr="00B86F14" w14:paraId="2A28EF90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F57A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Lineamientos curriculares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33076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Estándares Básicos de Competencias (EBC)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6E39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Derechos Básicos de Aprendizaje (DBA)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6DE6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Orientaciones pedagógicas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5CED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Bases curriculares / Mallas de aprendizaje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C25F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Otros referentes (p. ej. ERE — Conferencia Episcopal)</w:t>
            </w:r>
          </w:p>
        </w:tc>
      </w:tr>
      <w:tr w:rsidR="00B11C0E" w:rsidRPr="00B86F14" w14:paraId="768F0241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B2CB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año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E8A26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año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6936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versión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251E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año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BEEB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año</w:t>
            </w:r>
          </w:p>
        </w:tc>
        <w:tc>
          <w:tcPr>
            <w:tcW w:w="2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0E0DA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Segoe UI Symbol" w:hAnsi="Segoe UI Symbol" w:cs="Segoe UI Symbol"/>
                <w:i/>
                <w:iCs/>
                <w:color w:val="808080"/>
                <w:sz w:val="20"/>
                <w:szCs w:val="20"/>
              </w:rPr>
              <w:t>☐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Sí / documento</w:t>
            </w:r>
          </w:p>
        </w:tc>
      </w:tr>
    </w:tbl>
    <w:p w14:paraId="67566981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252"/>
      </w:tblGrid>
      <w:tr w:rsidR="00B11C0E" w:rsidRPr="00B86F14" w14:paraId="7FCC04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A574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Enfoque y articulación con el modelo pedagógico validado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3EBD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Formación por competencias. Relación con el modelo institucional (concepto “Nuevos Patios”, enfoque por competencias y lógica de ciclos).</w:t>
            </w:r>
          </w:p>
        </w:tc>
      </w:tr>
      <w:tr w:rsidR="00B11C0E" w:rsidRPr="00B86F14" w14:paraId="05C626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6479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Aporte del área a la identidad salesiana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55D3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Cómo el área encarna el Sistema Preventivo (razón, religión, amabilidad) y el estilo salesiano de acompañamiento.</w:t>
            </w:r>
          </w:p>
        </w:tc>
      </w:tr>
      <w:tr w:rsidR="00B11C0E" w:rsidRPr="00B86F14" w14:paraId="34E4FC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8914D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Aporte a la línea transversal de Tecnología e Innovación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B07BF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Pensamiento computacional, competencias digitales, ciudadanía digital, STEAM/robótica e introducción a la IA que el área desarrolla (Transición a 9.°).</w:t>
            </w:r>
          </w:p>
        </w:tc>
      </w:tr>
      <w:tr w:rsidR="00B11C0E" w:rsidRPr="00B86F14" w14:paraId="3A8AEC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6436A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Objetivos / propósitos de formación del área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5272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Propósitos del área para el nivel, en coherencia con la Ley 115 y el PEI.</w:t>
            </w:r>
          </w:p>
        </w:tc>
      </w:tr>
      <w:tr w:rsidR="00B11C0E" w:rsidRPr="00B86F14" w14:paraId="35D002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A5E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lastRenderedPageBreak/>
              <w:t>Aporte del área al perfil del estudiante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1D9DE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Rasgos del perfil de egreso a los que contribuye el área.</w:t>
            </w:r>
          </w:p>
        </w:tc>
      </w:tr>
    </w:tbl>
    <w:p w14:paraId="080739B4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064D8E6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D64B7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3. ORGANIZACIÓN CURRICULAR DEL GRADO (VISIÓN ANUAL)</w:t>
            </w:r>
          </w:p>
        </w:tc>
      </w:tr>
    </w:tbl>
    <w:p w14:paraId="685D0206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252"/>
      </w:tblGrid>
      <w:tr w:rsidR="00B11C0E" w:rsidRPr="00B86F14" w14:paraId="042085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37CA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Meta anual del área/asignatura para el grado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17EF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Meta anual para el desarrollo del currículo del área en el grado (SEMS).</w:t>
            </w:r>
          </w:p>
        </w:tc>
      </w:tr>
      <w:tr w:rsidR="00B11C0E" w:rsidRPr="00B86F14" w14:paraId="7D30BD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07CC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Competencias del grado (institucionales y/o de área)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061B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Competencia(s) a desarrollar en el grado, acordes al modelo pedagógico y a la organización curricular.</w:t>
            </w:r>
          </w:p>
        </w:tc>
      </w:tr>
      <w:tr w:rsidR="00B11C0E" w:rsidRPr="00B86F14" w14:paraId="085D84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307E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Regla 80/20 (según arquitectura del plan — tarea 1.5.1)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2330F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% común (áreas obligatorias, EBC/DBA) frente a % de énfasis institucional/tecnológico. Se define en la arquitectura del plan de estudios (1.5.1).</w:t>
            </w:r>
          </w:p>
        </w:tc>
      </w:tr>
    </w:tbl>
    <w:p w14:paraId="06B65848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79399239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56753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Distribución por períodos (síntesis anual)</w:t>
            </w:r>
          </w:p>
        </w:tc>
      </w:tr>
    </w:tbl>
    <w:p w14:paraId="30AB81F4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p w14:paraId="3EA54130" w14:textId="77777777" w:rsidR="00B11C0E" w:rsidRPr="00B86F14" w:rsidRDefault="00000000" w:rsidP="003B69C0">
      <w:pPr>
        <w:pStyle w:val="EicitIns"/>
        <w:spacing w:line="276" w:lineRule="auto"/>
        <w:rPr>
          <w:rFonts w:ascii="Candara" w:hAnsi="Candara"/>
        </w:rPr>
      </w:pPr>
      <w:r w:rsidRPr="00B86F14">
        <w:rPr>
          <w:rFonts w:ascii="Candara" w:hAnsi="Candara"/>
          <w:i/>
          <w:iCs/>
          <w:color w:val="808080"/>
          <w:sz w:val="20"/>
          <w:szCs w:val="20"/>
        </w:rPr>
        <w:t>Panorama de secuenciación del año. El componente es una referencia controlada tomada de la estructura oficial del área (EBC/lineamientos), no un listado de temas. El foco enuncia el núcleo de la competencia en pocas palabras; su formulación completa (verbo + objeto + finalidad) va una sola vez en la sección 4.</w:t>
      </w:r>
    </w:p>
    <w:p w14:paraId="64C29638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163"/>
        <w:gridCol w:w="3163"/>
        <w:gridCol w:w="3163"/>
        <w:gridCol w:w="3163"/>
      </w:tblGrid>
      <w:tr w:rsidR="00B11C0E" w:rsidRPr="00B86F14" w14:paraId="4DE941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9BCA3" w14:textId="77777777" w:rsidR="00B11C0E" w:rsidRPr="00B86F14" w:rsidRDefault="00B11C0E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667F8" w14:textId="77777777" w:rsidR="00B11C0E" w:rsidRPr="00B86F14" w:rsidRDefault="00000000" w:rsidP="003B69C0">
            <w:pPr>
              <w:pStyle w:val="EicitIns"/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Período 1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F7C1F" w14:textId="77777777" w:rsidR="00B11C0E" w:rsidRPr="00B86F14" w:rsidRDefault="00000000" w:rsidP="003B69C0">
            <w:pPr>
              <w:pStyle w:val="EicitIns"/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Período 2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981BC" w14:textId="77777777" w:rsidR="00B11C0E" w:rsidRPr="00B86F14" w:rsidRDefault="00000000" w:rsidP="003B69C0">
            <w:pPr>
              <w:pStyle w:val="EicitIns"/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Período 3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2E648" w14:textId="77777777" w:rsidR="00B11C0E" w:rsidRPr="00B86F14" w:rsidRDefault="00000000" w:rsidP="003B69C0">
            <w:pPr>
              <w:pStyle w:val="EicitIns"/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Período 4</w:t>
            </w:r>
          </w:p>
        </w:tc>
      </w:tr>
      <w:tr w:rsidR="00B11C0E" w:rsidRPr="00B86F14" w14:paraId="55F6FB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419C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Componente / eje del área (referencia controlada — no temario)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D2BCD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Componente oficial del área (EBC/lineamientos).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628C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6EA7A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E2D2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</w:tr>
      <w:tr w:rsidR="00B11C0E" w:rsidRPr="00B86F14" w14:paraId="31B09A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9D8F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Foco de la competencia del período (núcleo, en pocas palabras)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90B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Núcleo de la competencia; la formulación completa va en la sección 4.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1477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EE7BC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  <w:tc>
          <w:tcPr>
            <w:tcW w:w="3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CF2F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</w:tr>
    </w:tbl>
    <w:p w14:paraId="5F1BA5BB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3A3E7221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1CE26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4. MALLA POR PERÍODO  (unidad que se duplica por cada período académico)</w:t>
            </w:r>
          </w:p>
        </w:tc>
      </w:tr>
    </w:tbl>
    <w:p w14:paraId="08AD2C2A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4241F86E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4085E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MALLA CURRICULAR — PERÍODO: ______     GRADO: ______     ASIGNATURA: ______________</w:t>
            </w:r>
          </w:p>
        </w:tc>
      </w:tr>
    </w:tbl>
    <w:p w14:paraId="77E47E95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252"/>
      </w:tblGrid>
      <w:tr w:rsidR="00B11C0E" w:rsidRPr="00B86F14" w14:paraId="6B68B4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9062E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Competencia del período (única e integradora)</w:t>
            </w:r>
          </w:p>
        </w:tc>
        <w:tc>
          <w:tcPr>
            <w:tcW w:w="1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C37E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 xml:space="preserve">Una sola competencia, de alto nivel de abstracción, a desarrollar en el período. </w:t>
            </w:r>
          </w:p>
          <w:p w14:paraId="222E75C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Redáctela como: verbo de desempeño + saber/objeto + finalidad/contexto. Se formula UNA competencia por grado, asignatura y período; el desglose se hace en los desempeños por saber (4.A), no en competencias subsidiarias.</w:t>
            </w:r>
          </w:p>
        </w:tc>
      </w:tr>
    </w:tbl>
    <w:p w14:paraId="2AE1533D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279346D0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3229B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4.A  Desarrollo de competencias (núcleo: desempeños y evidencias)</w:t>
            </w:r>
          </w:p>
        </w:tc>
      </w:tr>
    </w:tbl>
    <w:p w14:paraId="58105D5F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p w14:paraId="06DAEE1E" w14:textId="77777777" w:rsidR="00B11C0E" w:rsidRPr="00B86F14" w:rsidRDefault="00000000" w:rsidP="003B69C0">
      <w:pPr>
        <w:pStyle w:val="EicitIns"/>
        <w:spacing w:line="276" w:lineRule="auto"/>
        <w:rPr>
          <w:rFonts w:ascii="Candara" w:hAnsi="Candara"/>
        </w:rPr>
      </w:pPr>
      <w:r w:rsidRPr="00B86F14">
        <w:rPr>
          <w:rFonts w:ascii="Candara" w:hAnsi="Candara"/>
          <w:i/>
          <w:iCs/>
          <w:color w:val="808080"/>
          <w:sz w:val="20"/>
          <w:szCs w:val="20"/>
        </w:rPr>
        <w:lastRenderedPageBreak/>
        <w:t>El componente/eje del área no se lista aquí: viaja en el objeto de la competencia y se declara, a nivel anual, en la sección 3. Este bloque desarrolla la competencia del período en desempeños por dimensión del saber.</w:t>
      </w:r>
    </w:p>
    <w:p w14:paraId="17ED97E5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852"/>
        <w:gridCol w:w="5400"/>
      </w:tblGrid>
      <w:tr w:rsidR="00B11C0E" w:rsidRPr="00B86F14" w14:paraId="51E04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8D90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Dimensión del saber</w:t>
            </w:r>
          </w:p>
        </w:tc>
        <w:tc>
          <w:tcPr>
            <w:tcW w:w="7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9A04D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Desempeño esperado (aprendizaje)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798DD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Evidencias de aprendizaje</w:t>
            </w:r>
          </w:p>
        </w:tc>
      </w:tr>
      <w:tr w:rsidR="00B11C0E" w:rsidRPr="00B86F14" w14:paraId="3D697D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5D68A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</w:rPr>
              <w:t>Conceptual</w:t>
            </w:r>
            <w:r w:rsidRPr="00B86F14">
              <w:rPr>
                <w:rFonts w:ascii="Candara" w:hAnsi="Candara"/>
              </w:rPr>
              <w:t xml:space="preserve">  (Saber)</w:t>
            </w:r>
          </w:p>
        </w:tc>
        <w:tc>
          <w:tcPr>
            <w:tcW w:w="7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43783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>Saber: comprende y explica…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26C1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Descriptores/indicadores observables.</w:t>
            </w:r>
          </w:p>
        </w:tc>
      </w:tr>
      <w:tr w:rsidR="00B11C0E" w:rsidRPr="00B86F14" w14:paraId="54B04F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AA55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</w:rPr>
              <w:t>Procedimental</w:t>
            </w:r>
            <w:r w:rsidRPr="00B86F14">
              <w:rPr>
                <w:rFonts w:ascii="Candara" w:hAnsi="Candara"/>
              </w:rPr>
              <w:t xml:space="preserve"> (Saber hacer)</w:t>
            </w:r>
          </w:p>
        </w:tc>
        <w:tc>
          <w:tcPr>
            <w:tcW w:w="7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63FC4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>Acción(es) que evidencian el saber.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9279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Lo que el estudiante PUEDE hacer: observable y medible, en positivo (no lo que se le dificulta).</w:t>
            </w:r>
          </w:p>
        </w:tc>
      </w:tr>
      <w:tr w:rsidR="00B11C0E" w:rsidRPr="00B86F14" w14:paraId="6A7216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438C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</w:rPr>
              <w:t>Actitudinal</w:t>
            </w:r>
            <w:r w:rsidRPr="00B86F14">
              <w:rPr>
                <w:rFonts w:ascii="Candara" w:hAnsi="Candara"/>
              </w:rPr>
              <w:t xml:space="preserve"> (Saber ser y convivir) — sello salesiano</w:t>
            </w:r>
          </w:p>
        </w:tc>
        <w:tc>
          <w:tcPr>
            <w:tcW w:w="7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308EF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>Acción(es) que evidencian el saber.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A7FB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Lo que el estudiante PUEDE hacer: observable y medible, en positivo (no lo que se le dificulta).</w:t>
            </w:r>
          </w:p>
        </w:tc>
      </w:tr>
      <w:tr w:rsidR="00B11C0E" w:rsidRPr="00B86F14" w14:paraId="55F67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89003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</w:rPr>
              <w:t>Integración de saberes</w:t>
            </w:r>
            <w:r w:rsidRPr="00B86F14">
              <w:rPr>
                <w:rFonts w:ascii="Candara" w:hAnsi="Candara"/>
              </w:rPr>
              <w:t xml:space="preserve"> (síntesis competencial — referente de la evaluación por niveles en 4.C)</w:t>
            </w:r>
          </w:p>
        </w:tc>
        <w:tc>
          <w:tcPr>
            <w:tcW w:w="7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A59E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>Acción(es) que evidencian el saber.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3992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Lo que el estudiante PUEDE hacer: observable y medible, en positivo (no lo que se le dificulta).</w:t>
            </w:r>
          </w:p>
        </w:tc>
      </w:tr>
    </w:tbl>
    <w:p w14:paraId="6AF593C4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38DB5690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C5CE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4.B  Estrategias, recursos y articulación</w:t>
            </w:r>
          </w:p>
        </w:tc>
      </w:tr>
    </w:tbl>
    <w:p w14:paraId="5194AD46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4"/>
        <w:gridCol w:w="5484"/>
        <w:gridCol w:w="5484"/>
      </w:tblGrid>
      <w:tr w:rsidR="00B11C0E" w:rsidRPr="00B86F14" w14:paraId="2FC52A13" w14:textId="77777777">
        <w:tblPrEx>
          <w:tblCellMar>
            <w:top w:w="0" w:type="dxa"/>
            <w:bottom w:w="0" w:type="dxa"/>
          </w:tblCellMar>
        </w:tblPrEx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843E6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Estrategias didácticas y mediación (modelo pedagógico + TIC/IA)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1B6D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Recursos y ambientes de aprendizaje (“Nuevos Patios”)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0C366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Articulación: proyectos transversales / sello salesiano</w:t>
            </w:r>
          </w:p>
        </w:tc>
      </w:tr>
      <w:tr w:rsidR="00B11C0E" w:rsidRPr="00B86F14" w14:paraId="22FD3597" w14:textId="77777777">
        <w:tblPrEx>
          <w:tblCellMar>
            <w:top w:w="0" w:type="dxa"/>
            <w:bottom w:w="0" w:type="dxa"/>
          </w:tblCellMar>
        </w:tblPrEx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BE4D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Metodologías coherentes con el modelo; incorpore mediación tecnológica e IA cuando aporte al aprendizaje.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8A1D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Recursos físicos y digitales, plataformas, laboratorios, ambientes.</w:t>
            </w:r>
          </w:p>
        </w:tc>
        <w:tc>
          <w:tcPr>
            <w:tcW w:w="5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A4B3D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2E75B6"/>
                <w:sz w:val="18"/>
                <w:szCs w:val="18"/>
              </w:rPr>
              <w:t xml:space="preserve">(Base CMA) </w:t>
            </w:r>
            <w:r w:rsidRPr="00B86F14">
              <w:rPr>
                <w:rFonts w:ascii="Candara" w:hAnsi="Candara"/>
              </w:rPr>
              <w:t xml:space="preserve">Proyectos transversales (PRAE, Educación Financiera, Cátedra de la Paz, competencias ciudadanas, TIC/IA) y su articulación; </w:t>
            </w:r>
          </w:p>
          <w:p w14:paraId="3465085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relación con la formación salesiana.</w:t>
            </w:r>
          </w:p>
        </w:tc>
      </w:tr>
    </w:tbl>
    <w:p w14:paraId="66FDB43D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2E0F2D8D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86A35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4.C  Evaluación por niveles de desempeño (SIEE — Decreto 1290)</w:t>
            </w:r>
          </w:p>
        </w:tc>
      </w:tr>
    </w:tbl>
    <w:p w14:paraId="175339D7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p w14:paraId="6EDEA8BF" w14:textId="77777777" w:rsidR="00B11C0E" w:rsidRPr="00B86F14" w:rsidRDefault="00000000" w:rsidP="003B69C0">
      <w:pPr>
        <w:pStyle w:val="EicitIns"/>
        <w:spacing w:line="276" w:lineRule="auto"/>
        <w:rPr>
          <w:rFonts w:ascii="Candara" w:hAnsi="Candara"/>
        </w:rPr>
      </w:pPr>
      <w:r w:rsidRPr="00B86F14">
        <w:rPr>
          <w:rFonts w:ascii="Candara" w:hAnsi="Candara"/>
          <w:i/>
          <w:iCs/>
          <w:color w:val="808080"/>
          <w:sz w:val="20"/>
          <w:szCs w:val="20"/>
        </w:rPr>
        <w:t>Los cuatro niveles se aplican UNA sola vez, a la competencia integrada del período (referente: la fila «Integración de saberes» de 4.A). Es una rúbrica única de 1×4: NO se nivela cada dimensión del saber por separado. Los desempeños y evidencias de 4.A son la capa descriptiva que sustenta cada descriptor de nivel.</w:t>
      </w:r>
    </w:p>
    <w:p w14:paraId="6EFC97B4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13"/>
        <w:gridCol w:w="3213"/>
        <w:gridCol w:w="3213"/>
        <w:gridCol w:w="3213"/>
      </w:tblGrid>
      <w:tr w:rsidR="00B11C0E" w:rsidRPr="00B86F14" w14:paraId="15415F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4B904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Competencia integrada del período (referente de nivelación)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ACC8F" w14:textId="77777777" w:rsidR="00B11C0E" w:rsidRPr="00B86F14" w:rsidRDefault="00000000" w:rsidP="003B69C0">
            <w:pPr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Bajo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65866" w14:textId="77777777" w:rsidR="00B11C0E" w:rsidRPr="00B86F14" w:rsidRDefault="00000000" w:rsidP="003B69C0">
            <w:pPr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Básico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A21B6" w14:textId="77777777" w:rsidR="00B11C0E" w:rsidRPr="00B86F14" w:rsidRDefault="00000000" w:rsidP="003B69C0">
            <w:pPr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Alto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C2918" w14:textId="77777777" w:rsidR="00B11C0E" w:rsidRPr="00B86F14" w:rsidRDefault="00000000" w:rsidP="003B69C0">
            <w:pPr>
              <w:spacing w:after="0" w:line="276" w:lineRule="auto"/>
              <w:jc w:val="center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Superior</w:t>
            </w:r>
          </w:p>
        </w:tc>
      </w:tr>
      <w:tr w:rsidR="00B11C0E" w:rsidRPr="00B86F14" w14:paraId="0151D7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22C8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Retome la competencia del período. Cada descriptor de nivel expresa, en positivo y de forma integrada (los tres saberes), lo </w:t>
            </w: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lastRenderedPageBreak/>
              <w:t>que el estudiante logra; se apoya en las evidencias de 4.A.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2F53B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2E75B6"/>
                <w:sz w:val="18"/>
                <w:szCs w:val="18"/>
              </w:rPr>
              <w:lastRenderedPageBreak/>
              <w:t>(Base CMA)</w:t>
            </w:r>
          </w:p>
          <w:p w14:paraId="1336CF7F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Descriptor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06AA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2E75B6"/>
                <w:sz w:val="18"/>
                <w:szCs w:val="18"/>
              </w:rPr>
              <w:t>(Base CMA)</w:t>
            </w:r>
          </w:p>
          <w:p w14:paraId="2CE3853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Descriptor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9960C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2E75B6"/>
                <w:sz w:val="18"/>
                <w:szCs w:val="18"/>
              </w:rPr>
              <w:t>(Base CMA)</w:t>
            </w:r>
          </w:p>
          <w:p w14:paraId="667E1DC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Descriptor</w:t>
            </w:r>
          </w:p>
        </w:tc>
        <w:tc>
          <w:tcPr>
            <w:tcW w:w="3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85553" w14:textId="77777777" w:rsidR="00B11C0E" w:rsidRPr="00B86F14" w:rsidRDefault="00000000" w:rsidP="003B69C0">
            <w:pPr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2E75B6"/>
                <w:sz w:val="18"/>
                <w:szCs w:val="18"/>
              </w:rPr>
              <w:t>(Base CMA)</w:t>
            </w:r>
          </w:p>
          <w:p w14:paraId="64FE0D5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Descriptor</w:t>
            </w:r>
          </w:p>
        </w:tc>
      </w:tr>
    </w:tbl>
    <w:p w14:paraId="3BB8079A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45147F68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87245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5. PLAN DE MEJORAMIENTO ACADÉMICO Y ATENCIÓN A LA DIVERSIDAD</w:t>
            </w:r>
          </w:p>
        </w:tc>
      </w:tr>
    </w:tbl>
    <w:p w14:paraId="3E68976B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000"/>
        <w:gridCol w:w="5252"/>
      </w:tblGrid>
      <w:tr w:rsidR="00B11C0E" w:rsidRPr="00B86F14" w14:paraId="5A47D3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5A72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Proceso</w:t>
            </w:r>
          </w:p>
        </w:tc>
        <w:tc>
          <w:tcPr>
            <w:tcW w:w="8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A87B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Procedimiento (actividades, estrategias y recursos)</w:t>
            </w:r>
          </w:p>
        </w:tc>
        <w:tc>
          <w:tcPr>
            <w:tcW w:w="5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55DAE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Tiempo / frecuencia</w:t>
            </w:r>
          </w:p>
        </w:tc>
      </w:tr>
      <w:tr w:rsidR="00B11C0E" w:rsidRPr="00B86F14" w14:paraId="604472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B303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Nivelación</w:t>
            </w:r>
          </w:p>
          <w:p w14:paraId="60F593A8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Superación de dificultades de aprendizaje</w:t>
            </w:r>
          </w:p>
        </w:tc>
        <w:tc>
          <w:tcPr>
            <w:tcW w:w="8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E8087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Actividades, estrategias y recursos para el aprendizaje.</w:t>
            </w:r>
          </w:p>
        </w:tc>
        <w:tc>
          <w:tcPr>
            <w:tcW w:w="5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5957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Cada cuánto se realiza.</w:t>
            </w:r>
          </w:p>
        </w:tc>
      </w:tr>
      <w:tr w:rsidR="00B11C0E" w:rsidRPr="00B86F14" w14:paraId="42663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29B72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Profundización</w:t>
            </w:r>
          </w:p>
          <w:p w14:paraId="424235A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Ampliación de los aprendizajes</w:t>
            </w:r>
          </w:p>
        </w:tc>
        <w:tc>
          <w:tcPr>
            <w:tcW w:w="8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08429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Actividades, estrategias y recursos para el aprendizaje.</w:t>
            </w:r>
          </w:p>
        </w:tc>
        <w:tc>
          <w:tcPr>
            <w:tcW w:w="5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AD97B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Cada cuánto se realiza.</w:t>
            </w:r>
          </w:p>
        </w:tc>
      </w:tr>
      <w:tr w:rsidR="00B11C0E" w:rsidRPr="00B86F14" w14:paraId="137AEE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494F1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Flexibilización / DUA</w:t>
            </w:r>
          </w:p>
          <w:p w14:paraId="2762D0E5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Atención a estudiantes con necesidades educativas</w:t>
            </w:r>
          </w:p>
        </w:tc>
        <w:tc>
          <w:tcPr>
            <w:tcW w:w="8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4B7E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Actividades, estrategias y recursos para el aprendizaje.</w:t>
            </w:r>
          </w:p>
        </w:tc>
        <w:tc>
          <w:tcPr>
            <w:tcW w:w="5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F3903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Cada cuánto se realiza.</w:t>
            </w:r>
          </w:p>
        </w:tc>
      </w:tr>
    </w:tbl>
    <w:p w14:paraId="6E25FA3D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43F0016A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DE2BB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6. VALIDACIÓN Y ADOPCIÓN INSTITUCIONAL</w:t>
            </w:r>
          </w:p>
        </w:tc>
      </w:tr>
    </w:tbl>
    <w:p w14:paraId="69732568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1B99C127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F0830" w14:textId="77777777" w:rsidR="00B11C0E" w:rsidRPr="00B86F14" w:rsidRDefault="00000000" w:rsidP="003B69C0">
            <w:pPr>
              <w:pStyle w:val="EicitIns"/>
              <w:spacing w:after="0"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1F4E79"/>
              </w:rPr>
              <w:t xml:space="preserve">Asistencia técnica: </w:t>
            </w:r>
            <w:r w:rsidRPr="00B86F14">
              <w:rPr>
                <w:rFonts w:ascii="Candara" w:hAnsi="Candara"/>
              </w:rPr>
              <w:t xml:space="preserve">EICIT propone, diseña y acompaña. </w:t>
            </w:r>
            <w:r w:rsidRPr="00B86F14">
              <w:rPr>
                <w:rFonts w:ascii="Candara" w:hAnsi="Candara"/>
                <w:b/>
                <w:bCs/>
                <w:color w:val="1F4E79"/>
              </w:rPr>
              <w:t xml:space="preserve">Deliberación, decisión y adopción: </w:t>
            </w:r>
            <w:r w:rsidRPr="00B86F14">
              <w:rPr>
                <w:rFonts w:ascii="Candara" w:hAnsi="Candara"/>
              </w:rPr>
              <w:t xml:space="preserve">instancias del Colegio María Auxiliadora de Soacha (Consejo Académico </w:t>
            </w:r>
            <w:r w:rsidRPr="00B86F14">
              <w:rPr>
                <w:rFonts w:ascii="Arial" w:hAnsi="Arial" w:cs="Arial"/>
              </w:rPr>
              <w:t>→</w:t>
            </w:r>
            <w:r w:rsidRPr="00B86F14">
              <w:rPr>
                <w:rFonts w:ascii="Candara" w:hAnsi="Candara"/>
              </w:rPr>
              <w:t xml:space="preserve"> Consejo Directivo </w:t>
            </w:r>
            <w:r w:rsidRPr="00B86F14">
              <w:rPr>
                <w:rFonts w:ascii="Arial" w:hAnsi="Arial" w:cs="Arial"/>
              </w:rPr>
              <w:t>→</w:t>
            </w:r>
            <w:r w:rsidRPr="00B86F14">
              <w:rPr>
                <w:rFonts w:ascii="Candara" w:hAnsi="Candara"/>
              </w:rPr>
              <w:t xml:space="preserve"> resolución rectoral).</w:t>
            </w:r>
          </w:p>
        </w:tc>
      </w:tr>
    </w:tbl>
    <w:p w14:paraId="7493B2FB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3"/>
        <w:gridCol w:w="4113"/>
        <w:gridCol w:w="4113"/>
        <w:gridCol w:w="4113"/>
      </w:tblGrid>
      <w:tr w:rsidR="00B11C0E" w:rsidRPr="00B86F14" w14:paraId="01459E18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64D44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Elaboró (docente / equipo de área)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F1885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Revisó (jefe de área / Coordinación Académica)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98F6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Avaló (Consejo Académico)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4C566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 xml:space="preserve">Adoptó (Consejo Directivo — Resolución rectoral </w:t>
            </w:r>
            <w:proofErr w:type="spellStart"/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N.°</w:t>
            </w:r>
            <w:proofErr w:type="spellEnd"/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B11C0E" w:rsidRPr="00B86F14" w14:paraId="417CE782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EAF7F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Nombre / fecha / firma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7E7F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Nombre / fecha / firma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48789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Acta </w:t>
            </w: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N.°</w:t>
            </w:r>
            <w:proofErr w:type="spellEnd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/ fecha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04B7E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Resolución </w:t>
            </w: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N.°</w:t>
            </w:r>
            <w:proofErr w:type="spellEnd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 xml:space="preserve"> / fecha</w:t>
            </w:r>
          </w:p>
        </w:tc>
      </w:tr>
    </w:tbl>
    <w:p w14:paraId="6FCA2BAF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2"/>
      </w:tblGrid>
      <w:tr w:rsidR="00B11C0E" w:rsidRPr="00B86F14" w14:paraId="63CBE51C" w14:textId="77777777">
        <w:tblPrEx>
          <w:tblCellMar>
            <w:top w:w="0" w:type="dxa"/>
            <w:bottom w:w="0" w:type="dxa"/>
          </w:tblCellMar>
        </w:tblPrEx>
        <w:tc>
          <w:tcPr>
            <w:tcW w:w="16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AC106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</w:rPr>
              <w:t>Control de versiones</w:t>
            </w:r>
          </w:p>
        </w:tc>
      </w:tr>
    </w:tbl>
    <w:p w14:paraId="20214C86" w14:textId="77777777" w:rsidR="00B11C0E" w:rsidRPr="00B86F14" w:rsidRDefault="00B11C0E" w:rsidP="003B69C0">
      <w:pPr>
        <w:spacing w:after="60" w:line="276" w:lineRule="auto"/>
        <w:rPr>
          <w:rFonts w:ascii="Candara" w:hAnsi="Candara"/>
          <w:sz w:val="2"/>
          <w:szCs w:val="2"/>
        </w:rPr>
      </w:pPr>
    </w:p>
    <w:tbl>
      <w:tblPr>
        <w:tblW w:w="1645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3"/>
        <w:gridCol w:w="4113"/>
        <w:gridCol w:w="4113"/>
        <w:gridCol w:w="4113"/>
      </w:tblGrid>
      <w:tr w:rsidR="00B11C0E" w:rsidRPr="00B86F14" w14:paraId="4AA9BE6A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172FE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54A98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B9EA3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7889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B11C0E" w:rsidRPr="00B86F14" w14:paraId="211AF14F" w14:textId="77777777">
        <w:tblPrEx>
          <w:tblCellMar>
            <w:top w:w="0" w:type="dxa"/>
            <w:bottom w:w="0" w:type="dxa"/>
          </w:tblCellMar>
        </w:tblPrEx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ACD83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v.___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FA32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dd</w:t>
            </w:r>
            <w:proofErr w:type="spellEnd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/mm/</w:t>
            </w:r>
            <w:proofErr w:type="spellStart"/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47AC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  <w:tc>
          <w:tcPr>
            <w:tcW w:w="4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386E7" w14:textId="77777777" w:rsidR="00B11C0E" w:rsidRPr="00B86F14" w:rsidRDefault="00000000" w:rsidP="003B69C0">
            <w:pPr>
              <w:pStyle w:val="EicitIns"/>
              <w:spacing w:line="276" w:lineRule="auto"/>
              <w:rPr>
                <w:rFonts w:ascii="Candara" w:hAnsi="Candara"/>
              </w:rPr>
            </w:pPr>
            <w:r w:rsidRPr="00B86F14">
              <w:rPr>
                <w:rFonts w:ascii="Candara" w:hAnsi="Candara"/>
                <w:i/>
                <w:iCs/>
                <w:color w:val="808080"/>
                <w:sz w:val="20"/>
                <w:szCs w:val="20"/>
              </w:rPr>
              <w:t>…</w:t>
            </w:r>
          </w:p>
        </w:tc>
      </w:tr>
    </w:tbl>
    <w:p w14:paraId="21A82FAE" w14:textId="77777777" w:rsidR="00B11C0E" w:rsidRPr="00B86F14" w:rsidRDefault="00B11C0E" w:rsidP="003B69C0">
      <w:pPr>
        <w:spacing w:after="60" w:line="276" w:lineRule="auto"/>
        <w:rPr>
          <w:rFonts w:ascii="Candara" w:hAnsi="Candara"/>
        </w:rPr>
      </w:pPr>
    </w:p>
    <w:p w14:paraId="4C39E0BB" w14:textId="77777777" w:rsidR="00B11C0E" w:rsidRPr="00B86F14" w:rsidRDefault="00000000" w:rsidP="003B69C0">
      <w:pPr>
        <w:pStyle w:val="EicitIns"/>
        <w:spacing w:line="276" w:lineRule="auto"/>
        <w:rPr>
          <w:rFonts w:ascii="Candara" w:hAnsi="Candara"/>
        </w:rPr>
      </w:pPr>
      <w:r w:rsidRPr="00B86F14">
        <w:rPr>
          <w:rFonts w:ascii="Candara" w:hAnsi="Candara"/>
          <w:b/>
          <w:bCs/>
          <w:color w:val="1F4E79"/>
          <w:sz w:val="18"/>
          <w:szCs w:val="18"/>
        </w:rPr>
        <w:t xml:space="preserve">Nota metodológica: </w:t>
      </w:r>
      <w:r w:rsidRPr="00B86F14">
        <w:rPr>
          <w:rFonts w:ascii="Candara" w:hAnsi="Candara"/>
          <w:i/>
          <w:iCs/>
          <w:sz w:val="18"/>
          <w:szCs w:val="18"/>
        </w:rPr>
        <w:t>conforme a las orientaciones de la SEM Soacha, la malla se organiza por competencias y evidencias observables; los contenidos temáticos no constituyen el eje del plan de estudios, sino un referente de apoyo. Las evidencias describen lo que el estudiante logra, en términos observables y medibles.</w:t>
      </w:r>
    </w:p>
    <w:sectPr w:rsidR="00B11C0E" w:rsidRPr="00B86F14">
      <w:pgSz w:w="18720" w:h="12240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2B0F1F"/>
    <w:multiLevelType w:val="hybridMultilevel"/>
    <w:tmpl w:val="8A161504"/>
    <w:lvl w:ilvl="0" w:tplc="B5F85BE2">
      <w:start w:val="1"/>
      <w:numFmt w:val="bullet"/>
      <w:lvlText w:val="●"/>
      <w:lvlJc w:val="left"/>
      <w:pPr>
        <w:ind w:left="720" w:hanging="360"/>
      </w:pPr>
    </w:lvl>
    <w:lvl w:ilvl="1" w:tplc="58D8C484">
      <w:start w:val="1"/>
      <w:numFmt w:val="bullet"/>
      <w:lvlText w:val="○"/>
      <w:lvlJc w:val="left"/>
      <w:pPr>
        <w:ind w:left="1440" w:hanging="360"/>
      </w:pPr>
    </w:lvl>
    <w:lvl w:ilvl="2" w:tplc="956E34DC">
      <w:start w:val="1"/>
      <w:numFmt w:val="bullet"/>
      <w:lvlText w:val="■"/>
      <w:lvlJc w:val="left"/>
      <w:pPr>
        <w:ind w:left="2160" w:hanging="360"/>
      </w:pPr>
    </w:lvl>
    <w:lvl w:ilvl="3" w:tplc="6882D228">
      <w:start w:val="1"/>
      <w:numFmt w:val="bullet"/>
      <w:lvlText w:val="●"/>
      <w:lvlJc w:val="left"/>
      <w:pPr>
        <w:ind w:left="2880" w:hanging="360"/>
      </w:pPr>
    </w:lvl>
    <w:lvl w:ilvl="4" w:tplc="C926692A">
      <w:start w:val="1"/>
      <w:numFmt w:val="bullet"/>
      <w:lvlText w:val="○"/>
      <w:lvlJc w:val="left"/>
      <w:pPr>
        <w:ind w:left="3600" w:hanging="360"/>
      </w:pPr>
    </w:lvl>
    <w:lvl w:ilvl="5" w:tplc="FE84C47C">
      <w:start w:val="1"/>
      <w:numFmt w:val="bullet"/>
      <w:lvlText w:val="■"/>
      <w:lvlJc w:val="left"/>
      <w:pPr>
        <w:ind w:left="4320" w:hanging="360"/>
      </w:pPr>
    </w:lvl>
    <w:lvl w:ilvl="6" w:tplc="5C8E19A0">
      <w:start w:val="1"/>
      <w:numFmt w:val="bullet"/>
      <w:lvlText w:val="●"/>
      <w:lvlJc w:val="left"/>
      <w:pPr>
        <w:ind w:left="5040" w:hanging="360"/>
      </w:pPr>
    </w:lvl>
    <w:lvl w:ilvl="7" w:tplc="8166C99E">
      <w:start w:val="1"/>
      <w:numFmt w:val="bullet"/>
      <w:lvlText w:val="●"/>
      <w:lvlJc w:val="left"/>
      <w:pPr>
        <w:ind w:left="5760" w:hanging="360"/>
      </w:pPr>
    </w:lvl>
    <w:lvl w:ilvl="8" w:tplc="5E38F3C8">
      <w:start w:val="1"/>
      <w:numFmt w:val="bullet"/>
      <w:lvlText w:val="●"/>
      <w:lvlJc w:val="left"/>
      <w:pPr>
        <w:ind w:left="6480" w:hanging="360"/>
      </w:pPr>
    </w:lvl>
  </w:abstractNum>
  <w:num w:numId="1" w16cid:durableId="1736314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C0E"/>
    <w:rsid w:val="003B69C0"/>
    <w:rsid w:val="009E1A10"/>
    <w:rsid w:val="00B11C0E"/>
    <w:rsid w:val="00B8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6D8F4"/>
  <w15:docId w15:val="{AC570188-FA6F-6445-A7D7-23FEA5B9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O" w:eastAsia="es-MX" w:bidi="ar-SA"/>
      </w:rPr>
    </w:rPrDefault>
    <w:pPrDefault>
      <w:pPr>
        <w:spacing w:after="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EicitIns">
    <w:name w:val="EicitIn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1232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Plan de Estudios — Colegio María Auxiliadora de Soacha</dc:title>
  <dc:creator>EICIT IA</dc:creator>
  <cp:lastModifiedBy>MIREYA CASTILLO</cp:lastModifiedBy>
  <cp:revision>3</cp:revision>
  <dcterms:created xsi:type="dcterms:W3CDTF">2026-09-16T23:06:00Z</dcterms:created>
  <dcterms:modified xsi:type="dcterms:W3CDTF">2026-09-21T03:19:00Z</dcterms:modified>
</cp:coreProperties>
</file>