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lineRule="auto"/>
        <w:jc w:val="center"/>
      </w:pPr>
      <w:r>
        <w:rPr>
          <w:rFonts w:ascii="Calibri" w:cs="Calibri" w:eastAsia="Calibri" w:hAnsi="Calibri"/>
          <w:b/>
          <w:bCs/>
          <w:i w:val="false"/>
          <w:iCs w:val="false"/>
          <w:color w:val="1F4E79"/>
          <w:sz w:val="30"/>
          <w:szCs w:val="30"/>
        </w:rPr>
        <w:t xml:space="preserve">COLEGIO MARÍA AUXILIADORA DE SOACHA</w:t>
      </w:r>
    </w:p>
    <w:p>
      <w:pPr>
        <w:spacing w:after="40" w:line="360" w:lineRule="auto"/>
        <w:jc w:val="center"/>
      </w:pPr>
      <w:r>
        <w:rPr>
          <w:rFonts w:ascii="Calibri" w:cs="Calibri" w:eastAsia="Calibri" w:hAnsi="Calibri"/>
          <w:b/>
          <w:bCs/>
          <w:i w:val="false"/>
          <w:iCs w:val="false"/>
          <w:color w:val="2E75B6"/>
          <w:sz w:val="24"/>
          <w:szCs w:val="24"/>
        </w:rPr>
        <w:t xml:space="preserve">Instructivo de uso — Formato institucional de plan de estudios por área / asignatura</w:t>
      </w:r>
    </w:p>
    <w:p>
      <w:pPr>
        <w:spacing w:after="200" w:line="360" w:lineRule="auto"/>
        <w:jc w:val="center"/>
      </w:pPr>
      <w:r>
        <w:rPr>
          <w:rFonts w:ascii="Calibri" w:cs="Calibri" w:eastAsia="Calibri" w:hAnsi="Calibri"/>
          <w:b w:val="false"/>
          <w:bCs w:val="false"/>
          <w:i/>
          <w:iCs/>
          <w:color w:val="222222"/>
          <w:sz w:val="20"/>
          <w:szCs w:val="20"/>
        </w:rPr>
        <w:t xml:space="preserve">Tarea 1.5.2 · Actualización de la plantilla de planes de estudio · Asistencia técnica EICIT</w:t>
      </w:r>
    </w:p>
    <w:p>
      <w:pPr>
        <w:shd w:fill="1F4E79" w:color="auto" w:val="clear"/>
        <w:spacing w:after="120" w:before="120" w:line="360" w:lineRule="auto"/>
      </w:pPr>
      <w:r>
        <w:rPr>
          <w:rFonts w:ascii="Calibri" w:cs="Calibri" w:eastAsia="Calibri" w:hAnsi="Calibri"/>
          <w:b/>
          <w:bCs/>
          <w:i w:val="false"/>
          <w:iCs w:val="false"/>
          <w:color w:val="FFFFFF"/>
          <w:sz w:val="24"/>
          <w:szCs w:val="24"/>
        </w:rPr>
        <w:t xml:space="preserve">1. Propósito y encuadre</w:t>
      </w:r>
    </w:p>
    <w:p>
      <w:pPr>
        <w:spacing w:after="120" w:line="360" w:lineRule="auto"/>
      </w:pPr>
      <w:r>
        <w:rPr>
          <w:rFonts w:ascii="Calibri" w:cs="Calibri" w:eastAsia="Calibri" w:hAnsi="Calibri"/>
          <w:b w:val="false"/>
          <w:bCs w:val="false"/>
          <w:i w:val="false"/>
          <w:iCs w:val="false"/>
          <w:color w:val="222222"/>
          <w:sz w:val="22"/>
          <w:szCs w:val="22"/>
        </w:rPr>
        <w:t xml:space="preserve">Este instructivo acompaña el </w:t>
      </w:r>
      <w:r>
        <w:rPr>
          <w:rFonts w:ascii="Calibri" w:cs="Calibri" w:eastAsia="Calibri" w:hAnsi="Calibri"/>
          <w:b/>
          <w:bCs/>
          <w:i w:val="false"/>
          <w:iCs w:val="false"/>
          <w:color w:val="222222"/>
          <w:sz w:val="22"/>
          <w:szCs w:val="22"/>
        </w:rPr>
        <w:t xml:space="preserve">Formato institucional de plan de estudios por área/asignatura</w:t>
      </w:r>
      <w:r>
        <w:rPr>
          <w:rFonts w:ascii="Calibri" w:cs="Calibri" w:eastAsia="Calibri" w:hAnsi="Calibri"/>
          <w:b w:val="false"/>
          <w:bCs w:val="false"/>
          <w:i w:val="false"/>
          <w:iCs w:val="false"/>
          <w:color w:val="222222"/>
          <w:sz w:val="22"/>
          <w:szCs w:val="22"/>
        </w:rPr>
        <w:t xml:space="preserve"> y explica cómo diligenciar cada sección. El formato integra las orientaciones de la Secretaría de Educación de Soacha (SEM) sobre diseño curricular por competencias, la estructura de referencia de la Secretaría de Educación del Distrito (Bogotá) y los campos del borrador propuesto por el Colegio, todo dentro del marco de la educación formal colombiana.</w:t>
      </w:r>
    </w:p>
    <w:p>
      <w:pPr>
        <w:spacing w:after="120" w:line="360" w:lineRule="auto"/>
      </w:pPr>
      <w:r>
        <w:rPr>
          <w:rFonts w:ascii="Calibri" w:cs="Calibri" w:eastAsia="Calibri" w:hAnsi="Calibri"/>
          <w:b/>
          <w:bCs/>
          <w:i w:val="false"/>
          <w:iCs w:val="false"/>
          <w:color w:val="1F4E79"/>
          <w:sz w:val="22"/>
          <w:szCs w:val="22"/>
        </w:rPr>
        <w:t xml:space="preserve">Encuadre. </w:t>
      </w:r>
      <w:r>
        <w:rPr>
          <w:rFonts w:ascii="Calibri" w:cs="Calibri" w:eastAsia="Calibri" w:hAnsi="Calibri"/>
          <w:b w:val="false"/>
          <w:bCs w:val="false"/>
          <w:i w:val="false"/>
          <w:iCs w:val="false"/>
          <w:color w:val="222222"/>
          <w:sz w:val="22"/>
          <w:szCs w:val="22"/>
        </w:rPr>
        <w:t xml:space="preserve">EICIT propone, diseña y acompaña; el Colegio delibera, decide y adopta. El formato es una propuesta técnica: su versión definitiva y su adopción corresponden a las instancias institucionales (Consejo Académico → Consejo Directivo → resolución rectoral), preservando la autonomía curricular y la identidad salesiana.</w:t>
      </w:r>
    </w:p>
    <w:p>
      <w:pPr>
        <w:shd w:fill="1F4E79" w:color="auto" w:val="clear"/>
        <w:spacing w:after="120" w:before="120" w:line="360" w:lineRule="auto"/>
      </w:pPr>
      <w:r>
        <w:rPr>
          <w:rFonts w:ascii="Calibri" w:cs="Calibri" w:eastAsia="Calibri" w:hAnsi="Calibri"/>
          <w:b/>
          <w:bCs/>
          <w:i w:val="false"/>
          <w:iCs w:val="false"/>
          <w:color w:val="FFFFFF"/>
          <w:sz w:val="24"/>
          <w:szCs w:val="24"/>
        </w:rPr>
        <w:t xml:space="preserve">2. Marco normativo de referencia</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Ley 115 de 1994</w:t>
      </w:r>
      <w:r>
        <w:rPr>
          <w:rFonts w:ascii="Calibri" w:cs="Calibri" w:eastAsia="Calibri" w:hAnsi="Calibri"/>
          <w:b w:val="false"/>
          <w:bCs w:val="false"/>
          <w:i w:val="false"/>
          <w:iCs w:val="false"/>
          <w:color w:val="222222"/>
          <w:sz w:val="22"/>
          <w:szCs w:val="22"/>
        </w:rPr>
        <w:t xml:space="preserve">: fines de la educación, áreas obligatorias y fundamentales (art. 23) e intensidad horaria (arts. 31–32).</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Decreto 1075 de 2015</w:t>
      </w:r>
      <w:r>
        <w:rPr>
          <w:rFonts w:ascii="Calibri" w:cs="Calibri" w:eastAsia="Calibri" w:hAnsi="Calibri"/>
          <w:b w:val="false"/>
          <w:bCs w:val="false"/>
          <w:i w:val="false"/>
          <w:iCs w:val="false"/>
          <w:color w:val="222222"/>
          <w:sz w:val="22"/>
          <w:szCs w:val="22"/>
        </w:rPr>
        <w:t xml:space="preserve">: Decreto Único Reglamentario del Sector Educación.</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EBC y DBA</w:t>
      </w:r>
      <w:r>
        <w:rPr>
          <w:rFonts w:ascii="Calibri" w:cs="Calibri" w:eastAsia="Calibri" w:hAnsi="Calibri"/>
          <w:b w:val="false"/>
          <w:bCs w:val="false"/>
          <w:i w:val="false"/>
          <w:iCs w:val="false"/>
          <w:color w:val="222222"/>
          <w:sz w:val="22"/>
          <w:szCs w:val="22"/>
        </w:rPr>
        <w:t xml:space="preserve">: Estándares Básicos de Competencias y Derechos Básicos de Aprendizaje como referentes de calidad del MEN.</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Lineamientos curriculares y orientaciones pedagógicas</w:t>
      </w:r>
      <w:r>
        <w:rPr>
          <w:rFonts w:ascii="Calibri" w:cs="Calibri" w:eastAsia="Calibri" w:hAnsi="Calibri"/>
          <w:b w:val="false"/>
          <w:bCs w:val="false"/>
          <w:i w:val="false"/>
          <w:iCs w:val="false"/>
          <w:color w:val="222222"/>
          <w:sz w:val="22"/>
          <w:szCs w:val="22"/>
        </w:rPr>
        <w:t xml:space="preserve"> del MEN por área.</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Decreto 1290 de 2009 (SIEE)</w:t>
      </w:r>
      <w:r>
        <w:rPr>
          <w:rFonts w:ascii="Calibri" w:cs="Calibri" w:eastAsia="Calibri" w:hAnsi="Calibri"/>
          <w:b w:val="false"/>
          <w:bCs w:val="false"/>
          <w:i w:val="false"/>
          <w:iCs w:val="false"/>
          <w:color w:val="222222"/>
          <w:sz w:val="22"/>
          <w:szCs w:val="22"/>
        </w:rPr>
        <w:t xml:space="preserve">: sistema institucional de evaluación; sustenta los niveles de desempeño (Bajo, Básico, Alto, Superior).</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Guía 34</w:t>
      </w:r>
      <w:r>
        <w:rPr>
          <w:rFonts w:ascii="Calibri" w:cs="Calibri" w:eastAsia="Calibri" w:hAnsi="Calibri"/>
          <w:b w:val="false"/>
          <w:bCs w:val="false"/>
          <w:i w:val="false"/>
          <w:iCs w:val="false"/>
          <w:color w:val="222222"/>
          <w:sz w:val="22"/>
          <w:szCs w:val="22"/>
        </w:rPr>
        <w:t xml:space="preserve">: ruta de mejoramiento institucional (autoevaluación, plan de mejoramiento).</w:t>
      </w:r>
    </w:p>
    <w:p>
      <w:pPr>
        <w:spacing w:after="120" w:line="360" w:lineRule="auto"/>
      </w:pPr>
      <w:r>
        <w:rPr>
          <w:rFonts w:ascii="Calibri" w:cs="Calibri" w:eastAsia="Calibri" w:hAnsi="Calibri"/>
          <w:b/>
          <w:bCs/>
          <w:i w:val="false"/>
          <w:iCs w:val="false"/>
          <w:color w:val="1F4E79"/>
          <w:sz w:val="22"/>
          <w:szCs w:val="22"/>
        </w:rPr>
        <w:t xml:space="preserve">Nota. </w:t>
      </w:r>
      <w:r>
        <w:rPr>
          <w:rFonts w:ascii="Calibri" w:cs="Calibri" w:eastAsia="Calibri" w:hAnsi="Calibri"/>
          <w:b w:val="false"/>
          <w:bCs w:val="false"/>
          <w:i w:val="false"/>
          <w:iCs w:val="false"/>
          <w:color w:val="222222"/>
          <w:sz w:val="22"/>
          <w:szCs w:val="22"/>
        </w:rPr>
        <w:t xml:space="preserve">Por tratarse de educación formal (preescolar, básica y media), NO se aplica la lógica de la formación para el trabajo: no hay créditos, ni normas de competencia laboral, ni clasificaciones ocupacionales dentro del plan de estudios formal.</w:t>
      </w:r>
    </w:p>
    <w:p>
      <w:pPr>
        <w:shd w:fill="1F4E79" w:color="auto" w:val="clear"/>
        <w:spacing w:after="120" w:before="120" w:line="360" w:lineRule="auto"/>
      </w:pPr>
      <w:r>
        <w:rPr>
          <w:rFonts w:ascii="Calibri" w:cs="Calibri" w:eastAsia="Calibri" w:hAnsi="Calibri"/>
          <w:b/>
          <w:bCs/>
          <w:i w:val="false"/>
          <w:iCs w:val="false"/>
          <w:color w:val="FFFFFF"/>
          <w:sz w:val="24"/>
          <w:szCs w:val="24"/>
        </w:rPr>
        <w:t xml:space="preserve">3. Principios de diseño curricular (orientaciones de la SEM)</w:t>
      </w:r>
    </w:p>
    <w:p>
      <w:pPr>
        <w:pBdr>
          <w:bottom w:val="single" w:color="BF9000" w:sz="6"/>
        </w:pBdr>
        <w:spacing w:after="80" w:before="160" w:line="360" w:lineRule="auto"/>
      </w:pPr>
      <w:r>
        <w:rPr>
          <w:rFonts w:ascii="Calibri" w:cs="Calibri" w:eastAsia="Calibri" w:hAnsi="Calibri"/>
          <w:b/>
          <w:bCs/>
          <w:i w:val="false"/>
          <w:iCs w:val="false"/>
          <w:color w:val="1F4E79"/>
          <w:sz w:val="23"/>
          <w:szCs w:val="23"/>
        </w:rPr>
        <w:t xml:space="preserve">3.1 Formación por competencias</w:t>
      </w:r>
    </w:p>
    <w:p>
      <w:pPr>
        <w:spacing w:after="120" w:line="360" w:lineRule="auto"/>
      </w:pPr>
      <w:r>
        <w:rPr>
          <w:rFonts w:ascii="Calibri" w:cs="Calibri" w:eastAsia="Calibri" w:hAnsi="Calibri"/>
          <w:b w:val="false"/>
          <w:bCs w:val="false"/>
          <w:i/>
          <w:iCs/>
          <w:color w:val="222222"/>
          <w:sz w:val="22"/>
          <w:szCs w:val="22"/>
        </w:rPr>
        <w:t xml:space="preserve">centrar la malla en los contenidos temáticos reduce el proceso de enseñanza-aprendizaje: los temas son un referente de apoyo, no el eje.</w:t>
      </w:r>
    </w:p>
    <w:p>
      <w:pPr>
        <w:pBdr>
          <w:bottom w:val="single" w:color="BF9000" w:sz="6"/>
        </w:pBdr>
        <w:spacing w:after="80" w:before="160" w:line="360" w:lineRule="auto"/>
      </w:pPr>
      <w:r>
        <w:rPr>
          <w:rFonts w:ascii="Calibri" w:cs="Calibri" w:eastAsia="Calibri" w:hAnsi="Calibri"/>
          <w:b/>
          <w:bCs/>
          <w:i w:val="false"/>
          <w:iCs w:val="false"/>
          <w:color w:val="1F4E79"/>
          <w:sz w:val="23"/>
          <w:szCs w:val="23"/>
        </w:rPr>
        <w:t xml:space="preserve">3.2 Evidencias de aprendizaje observables</w:t>
      </w:r>
    </w:p>
    <w:p>
      <w:pPr>
        <w:spacing w:after="120" w:line="360" w:lineRule="auto"/>
      </w:pPr>
      <w:r>
        <w:rPr>
          <w:rFonts w:ascii="Calibri" w:cs="Calibri" w:eastAsia="Calibri" w:hAnsi="Calibri"/>
          <w:b w:val="false"/>
          <w:bCs w:val="false"/>
          <w:i w:val="false"/>
          <w:iCs w:val="false"/>
          <w:color w:val="222222"/>
          <w:sz w:val="22"/>
          <w:szCs w:val="22"/>
        </w:rPr>
        <w:t xml:space="preserve">Las evidencias describen </w:t>
      </w:r>
      <w:r>
        <w:rPr>
          <w:rFonts w:ascii="Calibri" w:cs="Calibri" w:eastAsia="Calibri" w:hAnsi="Calibri"/>
          <w:b/>
          <w:bCs/>
          <w:i w:val="false"/>
          <w:iCs w:val="false"/>
          <w:color w:val="222222"/>
          <w:sz w:val="22"/>
          <w:szCs w:val="22"/>
        </w:rPr>
        <w:t xml:space="preserve">lo que el estudiante puede hacer</w:t>
      </w:r>
      <w:r>
        <w:rPr>
          <w:rFonts w:ascii="Calibri" w:cs="Calibri" w:eastAsia="Calibri" w:hAnsi="Calibri"/>
          <w:b w:val="false"/>
          <w:bCs w:val="false"/>
          <w:i w:val="false"/>
          <w:iCs w:val="false"/>
          <w:color w:val="222222"/>
          <w:sz w:val="22"/>
          <w:szCs w:val="22"/>
        </w:rPr>
        <w:t xml:space="preserve">: su nivel de desarrollo de la competencia, en términos observables y medibles, redactadas en positivo (no lo que se le dificulta). Los descriptores por nivel pueden usarse como evidencias de aprendizaje.</w:t>
      </w:r>
    </w:p>
    <w:p>
      <w:pPr>
        <w:pBdr>
          <w:bottom w:val="single" w:color="BF9000" w:sz="6"/>
        </w:pBdr>
        <w:spacing w:after="80" w:before="160" w:line="360" w:lineRule="auto"/>
      </w:pPr>
      <w:r>
        <w:rPr>
          <w:rFonts w:ascii="Calibri" w:cs="Calibri" w:eastAsia="Calibri" w:hAnsi="Calibri"/>
          <w:b/>
          <w:bCs/>
          <w:i w:val="false"/>
          <w:iCs w:val="false"/>
          <w:color w:val="1F4E79"/>
          <w:sz w:val="23"/>
          <w:szCs w:val="23"/>
        </w:rPr>
        <w:t xml:space="preserve">3.3 Cómo formular una competencia</w:t>
      </w:r>
    </w:p>
    <w:p>
      <w:pPr>
        <w:spacing w:after="120" w:line="360" w:lineRule="auto"/>
      </w:pPr>
      <w:r>
        <w:rPr>
          <w:rFonts w:ascii="Calibri" w:cs="Calibri" w:eastAsia="Calibri" w:hAnsi="Calibri"/>
          <w:b w:val="false"/>
          <w:bCs w:val="false"/>
          <w:i w:val="false"/>
          <w:iCs w:val="false"/>
          <w:color w:val="222222"/>
          <w:sz w:val="22"/>
          <w:szCs w:val="22"/>
        </w:rPr>
        <w:t xml:space="preserve">Una formulación completa articula tres elementos:</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Acción / verbo de desempeño</w:t>
      </w:r>
      <w:r>
        <w:rPr>
          <w:rFonts w:ascii="Calibri" w:cs="Calibri" w:eastAsia="Calibri" w:hAnsi="Calibri"/>
          <w:b w:val="false"/>
          <w:bCs w:val="false"/>
          <w:i w:val="false"/>
          <w:iCs w:val="false"/>
          <w:color w:val="222222"/>
          <w:sz w:val="22"/>
          <w:szCs w:val="22"/>
        </w:rPr>
        <w:t xml:space="preserve"> (qué hace el estudiante): analiza, interpreta, argumenta, resuelve, diseña…</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Saber / objeto</w:t>
      </w:r>
      <w:r>
        <w:rPr>
          <w:rFonts w:ascii="Calibri" w:cs="Calibri" w:eastAsia="Calibri" w:hAnsi="Calibri"/>
          <w:b w:val="false"/>
          <w:bCs w:val="false"/>
          <w:i w:val="false"/>
          <w:iCs w:val="false"/>
          <w:color w:val="222222"/>
          <w:sz w:val="22"/>
          <w:szCs w:val="22"/>
        </w:rPr>
        <w:t xml:space="preserve"> sobre el que actúa (contenido conceptual o procedimental).</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Finalidad y contexto</w:t>
      </w:r>
      <w:r>
        <w:rPr>
          <w:rFonts w:ascii="Calibri" w:cs="Calibri" w:eastAsia="Calibri" w:hAnsi="Calibri"/>
          <w:b w:val="false"/>
          <w:bCs w:val="false"/>
          <w:i w:val="false"/>
          <w:iCs w:val="false"/>
          <w:color w:val="222222"/>
          <w:sz w:val="22"/>
          <w:szCs w:val="22"/>
        </w:rPr>
        <w:t xml:space="preserve"> (para qué y en qué situación): académico, social, cotidiano, productivo.</w:t>
      </w:r>
    </w:p>
    <w:p>
      <w:pPr>
        <w:spacing w:after="120" w:line="360" w:lineRule="auto"/>
      </w:pPr>
      <w:r>
        <w:rPr>
          <w:rFonts w:ascii="Calibri" w:cs="Calibri" w:eastAsia="Calibri" w:hAnsi="Calibri"/>
          <w:b/>
          <w:bCs/>
          <w:i w:val="false"/>
          <w:iCs w:val="false"/>
          <w:color w:val="222222"/>
          <w:sz w:val="22"/>
          <w:szCs w:val="22"/>
        </w:rPr>
        <w:t xml:space="preserve">Ejemplo: </w:t>
      </w:r>
      <w:r>
        <w:rPr>
          <w:rFonts w:ascii="Calibri" w:cs="Calibri" w:eastAsia="Calibri" w:hAnsi="Calibri"/>
          <w:b w:val="false"/>
          <w:bCs w:val="false"/>
          <w:i/>
          <w:iCs/>
          <w:color w:val="222222"/>
          <w:sz w:val="22"/>
          <w:szCs w:val="22"/>
        </w:rPr>
        <w:t xml:space="preserve">“Analiza e interpreta conjuntos de datos mediante medidas de posición y dispersión, para argumentar comportamientos estadísticos en contextos cotidianos.”</w:t>
      </w:r>
    </w:p>
    <w:p>
      <w:pPr>
        <w:spacing w:after="120" w:line="360" w:lineRule="auto"/>
      </w:pPr>
      <w:r>
        <w:rPr>
          <w:rFonts w:ascii="Calibri" w:cs="Calibri" w:eastAsia="Calibri" w:hAnsi="Calibri"/>
          <w:b/>
          <w:bCs/>
          <w:i w:val="false"/>
          <w:iCs w:val="false"/>
          <w:color w:val="1F4E79"/>
          <w:sz w:val="22"/>
          <w:szCs w:val="22"/>
        </w:rPr>
        <w:t xml:space="preserve">Una sola competencia por período. </w:t>
      </w:r>
      <w:r>
        <w:rPr>
          <w:rFonts w:ascii="Calibri" w:cs="Calibri" w:eastAsia="Calibri" w:hAnsi="Calibri"/>
          <w:b w:val="false"/>
          <w:bCs w:val="false"/>
          <w:i w:val="false"/>
          <w:iCs w:val="false"/>
          <w:color w:val="222222"/>
          <w:sz w:val="22"/>
          <w:szCs w:val="22"/>
        </w:rPr>
        <w:t xml:space="preserve">Se formula </w:t>
      </w:r>
      <w:r>
        <w:rPr>
          <w:rFonts w:ascii="Calibri" w:cs="Calibri" w:eastAsia="Calibri" w:hAnsi="Calibri"/>
          <w:b/>
          <w:bCs/>
          <w:i w:val="false"/>
          <w:iCs w:val="false"/>
          <w:color w:val="222222"/>
          <w:sz w:val="22"/>
          <w:szCs w:val="22"/>
        </w:rPr>
        <w:t xml:space="preserve">una competencia por grado, asignatura y período</w:t>
      </w:r>
      <w:r>
        <w:rPr>
          <w:rFonts w:ascii="Calibri" w:cs="Calibri" w:eastAsia="Calibri" w:hAnsi="Calibri"/>
          <w:b w:val="false"/>
          <w:bCs w:val="false"/>
          <w:i w:val="false"/>
          <w:iCs w:val="false"/>
          <w:color w:val="222222"/>
          <w:sz w:val="22"/>
          <w:szCs w:val="22"/>
        </w:rPr>
        <w:t xml:space="preserve">, de alto nivel de abstracción, que integra los tres saberes. El desarrollo no se hace en competencias subsidiarias, sino en los </w:t>
      </w:r>
      <w:r>
        <w:rPr>
          <w:rFonts w:ascii="Calibri" w:cs="Calibri" w:eastAsia="Calibri" w:hAnsi="Calibri"/>
          <w:b/>
          <w:bCs/>
          <w:i w:val="false"/>
          <w:iCs w:val="false"/>
          <w:color w:val="222222"/>
          <w:sz w:val="22"/>
          <w:szCs w:val="22"/>
        </w:rPr>
        <w:t xml:space="preserve">desempeños por dimensión del saber</w:t>
      </w:r>
      <w:r>
        <w:rPr>
          <w:rFonts w:ascii="Calibri" w:cs="Calibri" w:eastAsia="Calibri" w:hAnsi="Calibri"/>
          <w:b w:val="false"/>
          <w:bCs w:val="false"/>
          <w:i w:val="false"/>
          <w:iCs w:val="false"/>
          <w:color w:val="222222"/>
          <w:sz w:val="22"/>
          <w:szCs w:val="22"/>
        </w:rPr>
        <w:t xml:space="preserve"> (4.A): son ellos los que despliegan analíticamente la competencia. Multiplicar competencias fragmenta el eje y complica la evaluación.</w:t>
      </w:r>
    </w:p>
    <w:p>
      <w:pPr>
        <w:shd w:fill="1F4E79" w:color="auto" w:val="clear"/>
        <w:spacing w:after="120" w:before="120" w:line="360" w:lineRule="auto"/>
      </w:pPr>
      <w:r>
        <w:rPr>
          <w:rFonts w:ascii="Calibri" w:cs="Calibri" w:eastAsia="Calibri" w:hAnsi="Calibri"/>
          <w:b/>
          <w:bCs/>
          <w:i w:val="false"/>
          <w:iCs w:val="false"/>
          <w:color w:val="FFFFFF"/>
          <w:sz w:val="24"/>
          <w:szCs w:val="24"/>
        </w:rPr>
        <w:t xml:space="preserve">4. Estructura del formato y cómo diligenciarlo</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972"/>
      </w:tblGrid>
      <w:tr>
        <w:tc>
          <w:tcPr>
            <w:tcW w:type="dxa" w:w="3000"/>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9"/>
                <w:szCs w:val="19"/>
              </w:rPr>
              <w:t xml:space="preserve">Sección</w:t>
            </w:r>
          </w:p>
        </w:tc>
        <w:tc>
          <w:tcPr>
            <w:tcW w:type="dxa" w:w="6972"/>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9"/>
                <w:szCs w:val="19"/>
              </w:rPr>
              <w:t xml:space="preserve">Qué registrar</w:t>
            </w:r>
          </w:p>
        </w:tc>
      </w:tr>
      <w:tr>
        <w:tc>
          <w:tcPr>
            <w:tcW w:type="dxa" w:w="3000"/>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1F4E79"/>
                <w:sz w:val="19"/>
                <w:szCs w:val="19"/>
              </w:rPr>
              <w:t xml:space="preserve">1. Identificación</w:t>
            </w:r>
          </w:p>
        </w:tc>
        <w:tc>
          <w:tcPr>
            <w:tcW w:type="dxa" w:w="6972"/>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Datos del área/asignatura, nivel, ciclo del modelo pedagógico, grado, año, períodos, intensidad horaria (arts. 31–32) y responsables. Una carátula por área-asignatura-grado.</w:t>
            </w:r>
          </w:p>
        </w:tc>
      </w:tr>
      <w:tr>
        <w:tc>
          <w:tcPr>
            <w:tcW w:type="dxa" w:w="3000"/>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1F4E79"/>
                <w:sz w:val="19"/>
                <w:szCs w:val="19"/>
              </w:rPr>
              <w:t xml:space="preserve">2. Fundamentación</w:t>
            </w:r>
          </w:p>
        </w:tc>
        <w:tc>
          <w:tcPr>
            <w:tcW w:type="dxa" w:w="6972"/>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Referentes de calidad aplicables (marque y cite versión); enfoque y articulación con el modelo pedagógico validado (“Nuevos Patios”, ciclos); aporte a la identidad salesiana (Sistema Preventivo: razón, religión, amabilidad); aporte a la línea transversal de Tecnología e Innovación; propósitos del área y aporte al perfil.</w:t>
            </w:r>
          </w:p>
        </w:tc>
      </w:tr>
      <w:tr>
        <w:tc>
          <w:tcPr>
            <w:tcW w:type="dxa" w:w="3000"/>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1F4E79"/>
                <w:sz w:val="19"/>
                <w:szCs w:val="19"/>
              </w:rPr>
              <w:t xml:space="preserve">3. Organización del grado</w:t>
            </w:r>
          </w:p>
        </w:tc>
        <w:tc>
          <w:tcPr>
            <w:tcW w:type="dxa" w:w="6972"/>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Meta anual del área para el grado; competencias del grado; regla 80/20 (definida en la arquitectura del plan, tarea 1.5.1). La distribución por períodos es un panorama anual: el componente/eje se declara aquí como referencia controlada del área (EBC/lineamientos, no temario) y el foco enuncia el núcleo de cada competencia en pocas palabras.</w:t>
            </w:r>
          </w:p>
        </w:tc>
      </w:tr>
      <w:tr>
        <w:tc>
          <w:tcPr>
            <w:tcW w:type="dxa" w:w="3000"/>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1F4E79"/>
                <w:sz w:val="19"/>
                <w:szCs w:val="19"/>
              </w:rPr>
              <w:t xml:space="preserve">4. Malla por período</w:t>
            </w:r>
          </w:p>
        </w:tc>
        <w:tc>
          <w:tcPr>
            <w:tcW w:type="dxa" w:w="6972"/>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Núcleo operativo. Se duplica por período. 4.A despliega la competencia en desempeños y evidencias por dimensión del saber (sin columna de componente: el componente viaja en el objeto de la competencia y se declara a nivel anual en la sección 3); 4.B estrategias, recursos y articulación; 4.C evaluación por niveles (SIEE).</w:t>
            </w:r>
          </w:p>
        </w:tc>
      </w:tr>
      <w:tr>
        <w:tc>
          <w:tcPr>
            <w:tcW w:type="dxa" w:w="3000"/>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1F4E79"/>
                <w:sz w:val="19"/>
                <w:szCs w:val="19"/>
              </w:rPr>
              <w:t xml:space="preserve">5. Plan de mejoramiento</w:t>
            </w:r>
          </w:p>
        </w:tc>
        <w:tc>
          <w:tcPr>
            <w:tcW w:type="dxa" w:w="6972"/>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Nivelación, profundización y flexibilización/DUA: proceso, procedimiento (actividades, estrategias, recursos) y tiempo/frecuencia.</w:t>
            </w:r>
          </w:p>
        </w:tc>
      </w:tr>
      <w:tr>
        <w:tc>
          <w:tcPr>
            <w:tcW w:type="dxa" w:w="3000"/>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1F4E79"/>
                <w:sz w:val="19"/>
                <w:szCs w:val="19"/>
              </w:rPr>
              <w:t xml:space="preserve">6. Validación y adopción</w:t>
            </w:r>
          </w:p>
        </w:tc>
        <w:tc>
          <w:tcPr>
            <w:tcW w:type="dxa" w:w="6972"/>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Firmas y trazabilidad de la ruta institucional (elaboró, revisó, avaló, adoptó) y control de versiones.</w:t>
            </w:r>
          </w:p>
        </w:tc>
      </w:tr>
    </w:tbl>
    <w:p>
      <w:pPr>
        <w:pBdr>
          <w:bottom w:val="single" w:color="BF9000" w:sz="6"/>
        </w:pBdr>
        <w:spacing w:after="80" w:before="160" w:line="360" w:lineRule="auto"/>
      </w:pPr>
      <w:r>
        <w:rPr>
          <w:rFonts w:ascii="Calibri" w:cs="Calibri" w:eastAsia="Calibri" w:hAnsi="Calibri"/>
          <w:b/>
          <w:bCs/>
          <w:i w:val="false"/>
          <w:iCs w:val="false"/>
          <w:color w:val="1F4E79"/>
          <w:sz w:val="23"/>
          <w:szCs w:val="23"/>
        </w:rPr>
        <w:t xml:space="preserve">4.1 Reconciliación de nomenclatura (para el equipo del Colegio)</w:t>
      </w:r>
    </w:p>
    <w:p>
      <w:pPr>
        <w:spacing w:after="120" w:line="360" w:lineRule="auto"/>
      </w:pPr>
      <w:r>
        <w:rPr>
          <w:rFonts w:ascii="Calibri" w:cs="Calibri" w:eastAsia="Calibri" w:hAnsi="Calibri"/>
          <w:b w:val="false"/>
          <w:bCs w:val="false"/>
          <w:i w:val="false"/>
          <w:iCs w:val="false"/>
          <w:color w:val="222222"/>
          <w:sz w:val="22"/>
          <w:szCs w:val="22"/>
        </w:rPr>
        <w:t xml:space="preserve">El borrador del Colegio organiza sus “criterios de evaluación” </w:t>
      </w:r>
      <w:r>
        <w:rPr>
          <w:rFonts w:ascii="Calibri" w:cs="Calibri" w:eastAsia="Calibri" w:hAnsi="Calibri"/>
          <w:b w:val="false"/>
          <w:bCs w:val="false"/>
          <w:i/>
          <w:iCs/>
          <w:color w:val="222222"/>
          <w:sz w:val="22"/>
          <w:szCs w:val="22"/>
        </w:rPr>
        <w:t xml:space="preserve">por saberes</w:t>
      </w:r>
      <w:r>
        <w:rPr>
          <w:rFonts w:ascii="Calibri" w:cs="Calibri" w:eastAsia="Calibri" w:hAnsi="Calibri"/>
          <w:b w:val="false"/>
          <w:bCs w:val="false"/>
          <w:i w:val="false"/>
          <w:iCs w:val="false"/>
          <w:color w:val="222222"/>
          <w:sz w:val="22"/>
          <w:szCs w:val="22"/>
        </w:rPr>
        <w:t xml:space="preserve">. Conviene distinguir dos cosas: el </w:t>
      </w:r>
      <w:r>
        <w:rPr>
          <w:rFonts w:ascii="Calibri" w:cs="Calibri" w:eastAsia="Calibri" w:hAnsi="Calibri"/>
          <w:b/>
          <w:bCs/>
          <w:i w:val="false"/>
          <w:iCs w:val="false"/>
          <w:color w:val="222222"/>
          <w:sz w:val="22"/>
          <w:szCs w:val="22"/>
        </w:rPr>
        <w:t xml:space="preserve">eje organizador</w:t>
      </w:r>
      <w:r>
        <w:rPr>
          <w:rFonts w:ascii="Calibri" w:cs="Calibri" w:eastAsia="Calibri" w:hAnsi="Calibri"/>
          <w:b w:val="false"/>
          <w:bCs w:val="false"/>
          <w:i w:val="false"/>
          <w:iCs w:val="false"/>
          <w:color w:val="222222"/>
          <w:sz w:val="22"/>
          <w:szCs w:val="22"/>
        </w:rPr>
        <w:t xml:space="preserve"> “por saberes” (Saber · Saber hacer · Saber ser y convivir · Integración) es lo que el formato llama </w:t>
      </w:r>
      <w:r>
        <w:rPr>
          <w:rFonts w:ascii="Calibri" w:cs="Calibri" w:eastAsia="Calibri" w:hAnsi="Calibri"/>
          <w:b/>
          <w:bCs/>
          <w:i w:val="false"/>
          <w:iCs w:val="false"/>
          <w:color w:val="222222"/>
          <w:sz w:val="22"/>
          <w:szCs w:val="22"/>
        </w:rPr>
        <w:t xml:space="preserve">dimensión del saber</w:t>
      </w:r>
      <w:r>
        <w:rPr>
          <w:rFonts w:ascii="Calibri" w:cs="Calibri" w:eastAsia="Calibri" w:hAnsi="Calibri"/>
          <w:b w:val="false"/>
          <w:bCs w:val="false"/>
          <w:i w:val="false"/>
          <w:iCs w:val="false"/>
          <w:color w:val="222222"/>
          <w:sz w:val="22"/>
          <w:szCs w:val="22"/>
        </w:rPr>
        <w:t xml:space="preserve">; y los </w:t>
      </w:r>
      <w:r>
        <w:rPr>
          <w:rFonts w:ascii="Calibri" w:cs="Calibri" w:eastAsia="Calibri" w:hAnsi="Calibri"/>
          <w:b/>
          <w:bCs/>
          <w:i w:val="false"/>
          <w:iCs w:val="false"/>
          <w:color w:val="222222"/>
          <w:sz w:val="22"/>
          <w:szCs w:val="22"/>
        </w:rPr>
        <w:t xml:space="preserve">enunciados</w:t>
      </w:r>
      <w:r>
        <w:rPr>
          <w:rFonts w:ascii="Calibri" w:cs="Calibri" w:eastAsia="Calibri" w:hAnsi="Calibri"/>
          <w:b w:val="false"/>
          <w:bCs w:val="false"/>
          <w:i w:val="false"/>
          <w:iCs w:val="false"/>
          <w:color w:val="222222"/>
          <w:sz w:val="22"/>
          <w:szCs w:val="22"/>
        </w:rPr>
        <w:t xml:space="preserve"> escritos dentro de cada saber (los “criterios”) son lo que la SEM y el formato llaman </w:t>
      </w:r>
      <w:r>
        <w:rPr>
          <w:rFonts w:ascii="Calibri" w:cs="Calibri" w:eastAsia="Calibri" w:hAnsi="Calibri"/>
          <w:b/>
          <w:bCs/>
          <w:i w:val="false"/>
          <w:iCs w:val="false"/>
          <w:color w:val="222222"/>
          <w:sz w:val="22"/>
          <w:szCs w:val="22"/>
        </w:rPr>
        <w:t xml:space="preserve">desempeños</w:t>
      </w:r>
      <w:r>
        <w:rPr>
          <w:rFonts w:ascii="Calibri" w:cs="Calibri" w:eastAsia="Calibri" w:hAnsi="Calibri"/>
          <w:b w:val="false"/>
          <w:bCs w:val="false"/>
          <w:i w:val="false"/>
          <w:iCs w:val="false"/>
          <w:color w:val="222222"/>
          <w:sz w:val="22"/>
          <w:szCs w:val="22"/>
        </w:rPr>
        <w:t xml:space="preserve">. Es decir: los criterios del Colegio </w:t>
      </w:r>
      <w:r>
        <w:rPr>
          <w:rFonts w:ascii="Calibri" w:cs="Calibri" w:eastAsia="Calibri" w:hAnsi="Calibri"/>
          <w:b w:val="false"/>
          <w:bCs w:val="false"/>
          <w:i/>
          <w:iCs/>
          <w:color w:val="222222"/>
          <w:sz w:val="22"/>
          <w:szCs w:val="22"/>
        </w:rPr>
        <w:t xml:space="preserve">son</w:t>
      </w:r>
      <w:r>
        <w:rPr>
          <w:rFonts w:ascii="Calibri" w:cs="Calibri" w:eastAsia="Calibri" w:hAnsi="Calibri"/>
          <w:b w:val="false"/>
          <w:bCs w:val="false"/>
          <w:i w:val="false"/>
          <w:iCs w:val="false"/>
          <w:color w:val="222222"/>
          <w:sz w:val="22"/>
          <w:szCs w:val="22"/>
        </w:rPr>
        <w:t xml:space="preserve"> los desempeños, clasificados por dimensión del saber. La escala Bajo·Básico·Alto·Superior se registra aparte, en 4.C.</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3324"/>
        <w:gridCol w:w="3324"/>
        <w:gridCol w:w="3324"/>
      </w:tblGrid>
      <w:tr>
        <w:tc>
          <w:tcPr>
            <w:tcW w:type="dxa" w:w="3324"/>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9"/>
                <w:szCs w:val="19"/>
              </w:rPr>
              <w:t xml:space="preserve">Dimensión del saber</w:t>
            </w:r>
          </w:p>
        </w:tc>
        <w:tc>
          <w:tcPr>
            <w:tcW w:type="dxa" w:w="3324"/>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9"/>
                <w:szCs w:val="19"/>
              </w:rPr>
              <w:t xml:space="preserve">Borrador del Colegio</w:t>
            </w:r>
          </w:p>
        </w:tc>
        <w:tc>
          <w:tcPr>
            <w:tcW w:type="dxa" w:w="3324"/>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9"/>
                <w:szCs w:val="19"/>
              </w:rPr>
              <w:t xml:space="preserve">Orientación SEM (desempeños)</w:t>
            </w:r>
          </w:p>
        </w:tc>
      </w:tr>
      <w:tr>
        <w:tc>
          <w:tcPr>
            <w:tcW w:type="dxa" w:w="3324"/>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222222"/>
                <w:sz w:val="19"/>
                <w:szCs w:val="19"/>
              </w:rPr>
              <w:t xml:space="preserve">Conceptual</w:t>
            </w:r>
          </w:p>
        </w:tc>
        <w:tc>
          <w:tcPr>
            <w:tcW w:type="dxa" w:w="3324"/>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Saber</w:t>
            </w:r>
          </w:p>
        </w:tc>
        <w:tc>
          <w:tcPr>
            <w:tcW w:type="dxa" w:w="3324"/>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Desempeños conceptuales (¿qué enseñar?)</w:t>
            </w:r>
          </w:p>
        </w:tc>
      </w:tr>
      <w:tr>
        <w:tc>
          <w:tcPr>
            <w:tcW w:type="dxa" w:w="3324"/>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222222"/>
                <w:sz w:val="19"/>
                <w:szCs w:val="19"/>
              </w:rPr>
              <w:t xml:space="preserve">Procedimental</w:t>
            </w:r>
          </w:p>
        </w:tc>
        <w:tc>
          <w:tcPr>
            <w:tcW w:type="dxa" w:w="3324"/>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Saber hacer</w:t>
            </w:r>
          </w:p>
        </w:tc>
        <w:tc>
          <w:tcPr>
            <w:tcW w:type="dxa" w:w="3324"/>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Desempeños procedimentales</w:t>
            </w:r>
          </w:p>
        </w:tc>
      </w:tr>
      <w:tr>
        <w:tc>
          <w:tcPr>
            <w:tcW w:type="dxa" w:w="3324"/>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222222"/>
                <w:sz w:val="19"/>
                <w:szCs w:val="19"/>
              </w:rPr>
              <w:t xml:space="preserve">Actitudinal</w:t>
            </w:r>
          </w:p>
        </w:tc>
        <w:tc>
          <w:tcPr>
            <w:tcW w:type="dxa" w:w="3324"/>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Saber ser y convivir</w:t>
            </w:r>
          </w:p>
        </w:tc>
        <w:tc>
          <w:tcPr>
            <w:tcW w:type="dxa" w:w="3324"/>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Desempeños actitudinales (sello salesiano)</w:t>
            </w:r>
          </w:p>
        </w:tc>
      </w:tr>
      <w:tr>
        <w:tc>
          <w:tcPr>
            <w:tcW w:type="dxa" w:w="3324"/>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222222"/>
                <w:sz w:val="19"/>
                <w:szCs w:val="19"/>
              </w:rPr>
              <w:t xml:space="preserve">Síntesis</w:t>
            </w:r>
          </w:p>
        </w:tc>
        <w:tc>
          <w:tcPr>
            <w:tcW w:type="dxa" w:w="3324"/>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Integración de saberes</w:t>
            </w:r>
          </w:p>
        </w:tc>
        <w:tc>
          <w:tcPr>
            <w:tcW w:type="dxa" w:w="3324"/>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9"/>
                <w:szCs w:val="19"/>
              </w:rPr>
              <w:t xml:space="preserve">Competencia integrada del período</w:t>
            </w:r>
          </w:p>
        </w:tc>
      </w:tr>
    </w:tbl>
    <w:p>
      <w:pPr>
        <w:spacing w:after="120" w:line="360" w:lineRule="auto"/>
      </w:pPr>
      <w:r>
        <w:rPr>
          <w:rFonts w:ascii="Calibri" w:cs="Calibri" w:eastAsia="Calibri" w:hAnsi="Calibri"/>
          <w:b/>
          <w:bCs/>
          <w:i w:val="false"/>
          <w:iCs w:val="false"/>
          <w:color w:val="1F4E79"/>
          <w:sz w:val="22"/>
          <w:szCs w:val="22"/>
        </w:rPr>
        <w:t xml:space="preserve">Nivelación única (evita la matriz 4×4). </w:t>
      </w:r>
      <w:r>
        <w:rPr>
          <w:rFonts w:ascii="Calibri" w:cs="Calibri" w:eastAsia="Calibri" w:hAnsi="Calibri"/>
          <w:b w:val="false"/>
          <w:bCs w:val="false"/>
          <w:i w:val="false"/>
          <w:iCs w:val="false"/>
          <w:color w:val="222222"/>
          <w:sz w:val="22"/>
          <w:szCs w:val="22"/>
        </w:rPr>
        <w:t xml:space="preserve">La escala del SIEE (Decreto 1290) se aplica en 4.C </w:t>
      </w:r>
      <w:r>
        <w:rPr>
          <w:rFonts w:ascii="Calibri" w:cs="Calibri" w:eastAsia="Calibri" w:hAnsi="Calibri"/>
          <w:b/>
          <w:bCs/>
          <w:i w:val="false"/>
          <w:iCs w:val="false"/>
          <w:color w:val="222222"/>
          <w:sz w:val="22"/>
          <w:szCs w:val="22"/>
        </w:rPr>
        <w:t xml:space="preserve">una sola vez</w:t>
      </w:r>
      <w:r>
        <w:rPr>
          <w:rFonts w:ascii="Calibri" w:cs="Calibri" w:eastAsia="Calibri" w:hAnsi="Calibri"/>
          <w:b w:val="false"/>
          <w:bCs w:val="false"/>
          <w:i w:val="false"/>
          <w:iCs w:val="false"/>
          <w:color w:val="222222"/>
          <w:sz w:val="22"/>
          <w:szCs w:val="22"/>
        </w:rPr>
        <w:t xml:space="preserve">, a la </w:t>
      </w:r>
      <w:r>
        <w:rPr>
          <w:rFonts w:ascii="Calibri" w:cs="Calibri" w:eastAsia="Calibri" w:hAnsi="Calibri"/>
          <w:b/>
          <w:bCs/>
          <w:i w:val="false"/>
          <w:iCs w:val="false"/>
          <w:color w:val="222222"/>
          <w:sz w:val="22"/>
          <w:szCs w:val="22"/>
        </w:rPr>
        <w:t xml:space="preserve">competencia integrada del período</w:t>
      </w:r>
      <w:r>
        <w:rPr>
          <w:rFonts w:ascii="Calibri" w:cs="Calibri" w:eastAsia="Calibri" w:hAnsi="Calibri"/>
          <w:b w:val="false"/>
          <w:bCs w:val="false"/>
          <w:i w:val="false"/>
          <w:iCs w:val="false"/>
          <w:color w:val="222222"/>
          <w:sz w:val="22"/>
          <w:szCs w:val="22"/>
        </w:rPr>
        <w:t xml:space="preserve"> —tomando como referente la fila «Integración de saberes» de 4.A—, con un descriptor por nivel (</w:t>
      </w:r>
      <w:r>
        <w:rPr>
          <w:rFonts w:ascii="Calibri" w:cs="Calibri" w:eastAsia="Calibri" w:hAnsi="Calibri"/>
          <w:b/>
          <w:bCs/>
          <w:i w:val="false"/>
          <w:iCs w:val="false"/>
          <w:color w:val="222222"/>
          <w:sz w:val="22"/>
          <w:szCs w:val="22"/>
        </w:rPr>
        <w:t xml:space="preserve">Bajo · Básico · Alto · Superior</w:t>
      </w:r>
      <w:r>
        <w:rPr>
          <w:rFonts w:ascii="Calibri" w:cs="Calibri" w:eastAsia="Calibri" w:hAnsi="Calibri"/>
          <w:b w:val="false"/>
          <w:bCs w:val="false"/>
          <w:i w:val="false"/>
          <w:iCs w:val="false"/>
          <w:color w:val="222222"/>
          <w:sz w:val="22"/>
          <w:szCs w:val="22"/>
        </w:rPr>
        <w:t xml:space="preserve">). No se nivela cada dimensión del saber por separado: es una rúbrica </w:t>
      </w:r>
      <w:r>
        <w:rPr>
          <w:rFonts w:ascii="Calibri" w:cs="Calibri" w:eastAsia="Calibri" w:hAnsi="Calibri"/>
          <w:b/>
          <w:bCs/>
          <w:i w:val="false"/>
          <w:iCs w:val="false"/>
          <w:color w:val="222222"/>
          <w:sz w:val="22"/>
          <w:szCs w:val="22"/>
        </w:rPr>
        <w:t xml:space="preserve">1×4</w:t>
      </w:r>
      <w:r>
        <w:rPr>
          <w:rFonts w:ascii="Calibri" w:cs="Calibri" w:eastAsia="Calibri" w:hAnsi="Calibri"/>
          <w:b w:val="false"/>
          <w:bCs w:val="false"/>
          <w:i w:val="false"/>
          <w:iCs w:val="false"/>
          <w:color w:val="222222"/>
          <w:sz w:val="22"/>
          <w:szCs w:val="22"/>
        </w:rPr>
        <w:t xml:space="preserve">, no 4×4. Los desempeños y evidencias por saber de 4.A son la capa descriptiva que sustenta cada descriptor de nivel; se conservan por su valor pedagógico, no para calificarlos uno a uno. Esto reproduce la forma en que el propio borrador del Colegio niveló la competencia (una sola escala para todo el período).</w:t>
      </w:r>
    </w:p>
    <w:p>
      <w:pPr>
        <w:shd w:fill="1F4E79" w:color="auto" w:val="clear"/>
        <w:spacing w:after="120" w:before="120" w:line="360" w:lineRule="auto"/>
      </w:pPr>
      <w:r>
        <w:rPr>
          <w:rFonts w:ascii="Calibri" w:cs="Calibri" w:eastAsia="Calibri" w:hAnsi="Calibri"/>
          <w:b/>
          <w:bCs/>
          <w:i w:val="false"/>
          <w:iCs w:val="false"/>
          <w:color w:val="FFFFFF"/>
          <w:sz w:val="24"/>
          <w:szCs w:val="24"/>
        </w:rPr>
        <w:t xml:space="preserve">5. Referentes de calidad del MEN por área</w:t>
      </w:r>
    </w:p>
    <w:p>
      <w:pPr>
        <w:spacing w:after="120" w:line="360" w:lineRule="auto"/>
      </w:pPr>
      <w:r>
        <w:rPr>
          <w:rFonts w:ascii="Calibri" w:cs="Calibri" w:eastAsia="Calibri" w:hAnsi="Calibri"/>
          <w:b w:val="false"/>
          <w:bCs w:val="false"/>
          <w:i w:val="false"/>
          <w:iCs w:val="false"/>
          <w:color w:val="222222"/>
          <w:sz w:val="22"/>
          <w:szCs w:val="22"/>
        </w:rPr>
        <w:t xml:space="preserve">Tomado de la presentación de la SEM. Marque en la sección 2.1 del formato los referentes que aplican a su área y cite la versión/año.</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86"/>
        <w:gridCol w:w="3686"/>
      </w:tblGrid>
      <w:tr>
        <w:tc>
          <w:tcPr>
            <w:tcW w:type="dxa" w:w="2600"/>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8"/>
                <w:szCs w:val="18"/>
              </w:rPr>
              <w:t xml:space="preserve">Área / asignatura</w:t>
            </w:r>
          </w:p>
        </w:tc>
        <w:tc>
          <w:tcPr>
            <w:tcW w:type="dxa" w:w="3686"/>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8"/>
                <w:szCs w:val="18"/>
              </w:rPr>
              <w:t xml:space="preserve">Lineamientos · EBC</w:t>
            </w:r>
          </w:p>
        </w:tc>
        <w:tc>
          <w:tcPr>
            <w:tcW w:type="dxa" w:w="3686"/>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8"/>
                <w:szCs w:val="18"/>
              </w:rPr>
              <w:t xml:space="preserve">Orientaciones · DBA · Mallas</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Ciencias naturales y educación ambiental</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Lineamientos 1998 · EBC 2006</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DBA v1 2016 · Mallas 1°–5° 2017</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Ciencias sociales, historia, geografía</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Lineamientos 2001 · EBC 2006</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DBA v1 2016</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Matemáticas</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Lineamientos 1998 · EBC 2006</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DBA v2 2016 · Mallas 1°–5° 2017</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Humanidades, lengua castellana</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Lineamientos 1998 · EBC 2006</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DBA v2 2016 · Mallas 1°–5° 2017</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Idiomas extranjeros: inglés</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Lineamientos 2001 · EBC Guía 22 (2006)</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DBA Transición a 5° y 6°–11° 2016</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Tecnología e informática</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Guía 30 (2008)</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Orientaciones curriculares 2022</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Educación artística y cultural</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Lineamientos 1998</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Doc. 16 (2010) · Orientaciones 2022</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Educación ética y valores humanos</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Lineamientos 1998</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Doc. 15 (2010)</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Educación física, recreación y deportes</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Lineamientos 2001</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Orientaciones curriculares 2022</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Filosofía</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Doc. 14 (2010)</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Emprendimiento</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Guía 39 (2012)</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Educación económica y financiera</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Doc. 26 (2022)</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Cátedra de la paz / afrocolombianos / vial</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Orientaciones 2016 · Lin. 2001 · Doc. 27 (2014)</w:t>
            </w:r>
          </w:p>
        </w:tc>
        <w:tc>
          <w:tcPr>
            <w:tcW w:type="dxa" w:w="36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w:t>
            </w:r>
          </w:p>
        </w:tc>
      </w:tr>
      <w:tr>
        <w:tc>
          <w:tcPr>
            <w:tcW w:type="dxa" w:w="2600"/>
            <w:tcBorders>
              <w:top w:val="single" w:color="BFBFBF" w:sz="4"/>
              <w:left w:val="single" w:color="BFBFBF" w:sz="4"/>
              <w:bottom w:val="single" w:color="BFBFBF" w:sz="4"/>
              <w:right w:val="single" w:color="BFBFBF" w:sz="4"/>
            </w:tcBorders>
            <w:shd w:fill="FBF3DC"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222222"/>
                <w:sz w:val="18"/>
                <w:szCs w:val="18"/>
              </w:rPr>
              <w:t xml:space="preserve">Educación religiosa (ERE)</w:t>
            </w:r>
          </w:p>
        </w:tc>
        <w:tc>
          <w:tcPr>
            <w:tcW w:type="dxa" w:w="3686"/>
            <w:tcBorders>
              <w:top w:val="single" w:color="BFBFBF" w:sz="4"/>
              <w:left w:val="single" w:color="BFBFBF" w:sz="4"/>
              <w:bottom w:val="single" w:color="BFBFBF" w:sz="4"/>
              <w:right w:val="single" w:color="BFBFBF" w:sz="4"/>
            </w:tcBorders>
            <w:shd w:fill="FBF3DC" w:color="auto" w:val="clear"/>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Sin lineamientos del MEN. Los EE privados pueden adoptar referentes de la </w:t>
            </w:r>
            <w:r>
              <w:rPr>
                <w:rFonts w:ascii="Calibri" w:cs="Calibri" w:eastAsia="Calibri" w:hAnsi="Calibri"/>
                <w:b/>
                <w:bCs/>
                <w:i w:val="false"/>
                <w:iCs w:val="false"/>
                <w:color w:val="222222"/>
                <w:sz w:val="18"/>
                <w:szCs w:val="18"/>
              </w:rPr>
              <w:t xml:space="preserve">Conferencia Episcopal de Colombia (Estándares ERE 2017)</w:t>
            </w:r>
            <w:r>
              <w:rPr>
                <w:rFonts w:ascii="Calibri" w:cs="Calibri" w:eastAsia="Calibri" w:hAnsi="Calibri"/>
                <w:b w:val="false"/>
                <w:bCs w:val="false"/>
                <w:i w:val="false"/>
                <w:iCs w:val="false"/>
                <w:color w:val="222222"/>
                <w:sz w:val="18"/>
                <w:szCs w:val="18"/>
              </w:rPr>
              <w:t xml:space="preserve">.</w:t>
            </w:r>
          </w:p>
        </w:tc>
        <w:tc>
          <w:tcPr>
            <w:tcW w:type="dxa" w:w="3686"/>
            <w:tcBorders>
              <w:top w:val="single" w:color="BFBFBF" w:sz="4"/>
              <w:left w:val="single" w:color="BFBFBF" w:sz="4"/>
              <w:bottom w:val="single" w:color="BFBFBF" w:sz="4"/>
              <w:right w:val="single" w:color="BFBFBF" w:sz="4"/>
            </w:tcBorders>
            <w:shd w:fill="FBF3DC" w:color="auto" w:val="clear"/>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También: SE Medellín Doc. 12 (2014); Arquidiócesis de Bogotá – SED, Orientaciones ERE (2000).</w:t>
            </w:r>
          </w:p>
        </w:tc>
      </w:tr>
    </w:tbl>
    <w:p>
      <w:pPr>
        <w:spacing w:after="120" w:line="360" w:lineRule="auto"/>
      </w:pPr>
      <w:r>
        <w:rPr>
          <w:rFonts w:ascii="Calibri" w:cs="Calibri" w:eastAsia="Calibri" w:hAnsi="Calibri"/>
          <w:b w:val="false"/>
          <w:bCs w:val="false"/>
          <w:i/>
          <w:iCs/>
          <w:color w:val="222222"/>
          <w:sz w:val="20"/>
          <w:szCs w:val="20"/>
        </w:rPr>
        <w:t xml:space="preserve">Para una institución salesiana, la ruta ERE de la Conferencia Episcopal es el referente pertinente y permite alinear el área con la identidad y el carisma.</w:t>
      </w:r>
    </w:p>
    <w:p>
      <w:pPr>
        <w:shd w:fill="1F4E79" w:color="auto" w:val="clear"/>
        <w:spacing w:after="120" w:before="120" w:line="360" w:lineRule="auto"/>
      </w:pPr>
      <w:r>
        <w:rPr>
          <w:rFonts w:ascii="Calibri" w:cs="Calibri" w:eastAsia="Calibri" w:hAnsi="Calibri"/>
          <w:b/>
          <w:bCs/>
          <w:i w:val="false"/>
          <w:iCs w:val="false"/>
          <w:color w:val="FFFFFF"/>
          <w:sz w:val="24"/>
          <w:szCs w:val="24"/>
        </w:rPr>
        <w:t xml:space="preserve">6. Ejemplo diligenciado (Matemáticas · Grado 10° · un período)</w:t>
      </w:r>
    </w:p>
    <w:p>
      <w:pPr>
        <w:spacing w:after="120" w:line="360" w:lineRule="auto"/>
      </w:pPr>
      <w:r>
        <w:rPr>
          <w:rFonts w:ascii="Calibri" w:cs="Calibri" w:eastAsia="Calibri" w:hAnsi="Calibri"/>
          <w:b w:val="false"/>
          <w:bCs w:val="false"/>
          <w:i/>
          <w:iCs/>
          <w:color w:val="222222"/>
          <w:sz w:val="22"/>
          <w:szCs w:val="22"/>
        </w:rPr>
        <w:t xml:space="preserve">Ejemplo ilustrativo que integra el borrador del Colegio con las evidencias del insumo de la SED. Sirve como modelo de redacción, no como contenido definitivo.</w:t>
      </w:r>
    </w:p>
    <w:p>
      <w:pPr>
        <w:pBdr>
          <w:bottom w:val="single" w:color="BF9000" w:sz="6"/>
        </w:pBdr>
        <w:spacing w:after="80" w:before="160" w:line="360" w:lineRule="auto"/>
      </w:pPr>
      <w:r>
        <w:rPr>
          <w:rFonts w:ascii="Calibri" w:cs="Calibri" w:eastAsia="Calibri" w:hAnsi="Calibri"/>
          <w:b/>
          <w:bCs/>
          <w:i w:val="false"/>
          <w:iCs w:val="false"/>
          <w:color w:val="1F4E79"/>
          <w:sz w:val="23"/>
          <w:szCs w:val="23"/>
        </w:rPr>
        <w:t xml:space="preserve">Competencia del período</w:t>
      </w:r>
    </w:p>
    <w:p>
      <w:pPr>
        <w:spacing w:after="120" w:line="360" w:lineRule="auto"/>
      </w:pPr>
      <w:r>
        <w:rPr>
          <w:rFonts w:ascii="Calibri" w:cs="Calibri" w:eastAsia="Calibri" w:hAnsi="Calibri"/>
          <w:b w:val="false"/>
          <w:bCs w:val="false"/>
          <w:i w:val="false"/>
          <w:iCs w:val="false"/>
          <w:color w:val="222222"/>
          <w:sz w:val="22"/>
          <w:szCs w:val="22"/>
        </w:rPr>
        <w:t xml:space="preserve">Analiza, interpreta y compara conjuntos de datos utilizando medidas de posición y de dispersión, para describir y argumentar comportamientos estadísticos en contextos académicos, sociales y cotidianos, reconociendo el carácter relativo de cada medida.</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886"/>
        <w:gridCol w:w="3886"/>
      </w:tblGrid>
      <w:tr>
        <w:tc>
          <w:tcPr>
            <w:tcW w:type="dxa" w:w="2200"/>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8"/>
                <w:szCs w:val="18"/>
              </w:rPr>
              <w:t xml:space="preserve">Dimensión</w:t>
            </w:r>
          </w:p>
        </w:tc>
        <w:tc>
          <w:tcPr>
            <w:tcW w:type="dxa" w:w="3886"/>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8"/>
                <w:szCs w:val="18"/>
              </w:rPr>
              <w:t xml:space="preserve">Desempeño esperado</w:t>
            </w:r>
          </w:p>
        </w:tc>
        <w:tc>
          <w:tcPr>
            <w:tcW w:type="dxa" w:w="3886"/>
            <w:tcBorders>
              <w:top w:val="single" w:color="BFBFBF" w:sz="4"/>
              <w:left w:val="single" w:color="BFBFBF" w:sz="4"/>
              <w:bottom w:val="single" w:color="BFBFBF" w:sz="4"/>
              <w:right w:val="single" w:color="BFBFBF" w:sz="4"/>
            </w:tcBorders>
            <w:shd w:fill="1F4E79"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8"/>
                <w:szCs w:val="18"/>
              </w:rPr>
              <w:t xml:space="preserve">Evidencias de aprendizaje</w:t>
            </w:r>
          </w:p>
        </w:tc>
      </w:tr>
      <w:tr>
        <w:tc>
          <w:tcPr>
            <w:tcW w:type="dxa" w:w="2200"/>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222222"/>
                <w:sz w:val="18"/>
                <w:szCs w:val="18"/>
              </w:rPr>
              <w:t xml:space="preserve">Conceptual (Saber)</w:t>
            </w:r>
          </w:p>
        </w:tc>
        <w:tc>
          <w:tcPr>
            <w:tcW w:type="dxa" w:w="38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Comprende y diferencia las medidas de posición y dispersión y la información que aporta cada una.</w:t>
            </w:r>
          </w:p>
        </w:tc>
        <w:tc>
          <w:tcPr>
            <w:tcW w:type="dxa" w:w="38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Distingue cuándo usar media, mediana, cuartiles, rango o varianza según el conjunto de datos.</w:t>
            </w:r>
          </w:p>
        </w:tc>
      </w:tr>
      <w:tr>
        <w:tc>
          <w:tcPr>
            <w:tcW w:type="dxa" w:w="2200"/>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222222"/>
                <w:sz w:val="18"/>
                <w:szCs w:val="18"/>
              </w:rPr>
              <w:t xml:space="preserve">Procedimental (Saber hacer)</w:t>
            </w:r>
          </w:p>
        </w:tc>
        <w:tc>
          <w:tcPr>
            <w:tcW w:type="dxa" w:w="38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Calcula, compara e interpreta medidas de posición y dispersión, justificando procedimientos y conclusiones.</w:t>
            </w:r>
          </w:p>
        </w:tc>
        <w:tc>
          <w:tcPr>
            <w:tcW w:type="dxa" w:w="38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Interpreta y compara medidas en un conjunto de datos; resuelve problemas apoyándose en herramientas tecnológicas cuando es posible.</w:t>
            </w:r>
          </w:p>
        </w:tc>
      </w:tr>
      <w:tr>
        <w:tc>
          <w:tcPr>
            <w:tcW w:type="dxa" w:w="2200"/>
            <w:tcBorders>
              <w:top w:val="single" w:color="BFBFBF" w:sz="4"/>
              <w:left w:val="single" w:color="BFBFBF" w:sz="4"/>
              <w:bottom w:val="single" w:color="BFBFBF" w:sz="4"/>
              <w:right w:val="single" w:color="BFBFBF" w:sz="4"/>
            </w:tcBorders>
            <w:shd w:fill="D5E8F0" w:color="auto" w:val="clear"/>
            <w:tcMar>
              <w:top w:type="dxa" w:w="30"/>
              <w:left w:type="dxa" w:w="70"/>
              <w:bottom w:type="dxa" w:w="30"/>
              <w:right w:type="dxa" w:w="70"/>
            </w:tcMar>
            <w:vAlign w:val="top"/>
          </w:tcPr>
          <w:p>
            <w:pPr>
              <w:spacing w:after="120" w:line="360" w:lineRule="auto"/>
            </w:pPr>
            <w:r>
              <w:rPr>
                <w:rFonts w:ascii="Calibri" w:cs="Calibri" w:eastAsia="Calibri" w:hAnsi="Calibri"/>
                <w:b/>
                <w:bCs/>
                <w:i w:val="false"/>
                <w:iCs w:val="false"/>
                <w:color w:val="222222"/>
                <w:sz w:val="18"/>
                <w:szCs w:val="18"/>
              </w:rPr>
              <w:t xml:space="preserve">Actitudinal (Saber ser y convivir)</w:t>
            </w:r>
          </w:p>
        </w:tc>
        <w:tc>
          <w:tcPr>
            <w:tcW w:type="dxa" w:w="38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Participa con responsabilidad y respeto en el análisis de información, valorando los aportes de los demás.</w:t>
            </w:r>
          </w:p>
        </w:tc>
        <w:tc>
          <w:tcPr>
            <w:tcW w:type="dxa" w:w="3886"/>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Comunica sus resultados con honestidad y escucha activa durante el trabajo colaborativo.</w:t>
            </w:r>
          </w:p>
        </w:tc>
      </w:tr>
    </w:tbl>
    <w:p>
      <w:pPr>
        <w:pBdr>
          <w:bottom w:val="single" w:color="BF9000" w:sz="6"/>
        </w:pBdr>
        <w:spacing w:after="80" w:before="160" w:line="360" w:lineRule="auto"/>
      </w:pPr>
      <w:r>
        <w:rPr>
          <w:rFonts w:ascii="Calibri" w:cs="Calibri" w:eastAsia="Calibri" w:hAnsi="Calibri"/>
          <w:b/>
          <w:bCs/>
          <w:i w:val="false"/>
          <w:iCs w:val="false"/>
          <w:color w:val="1F4E79"/>
          <w:sz w:val="23"/>
          <w:szCs w:val="23"/>
        </w:rPr>
        <w:t xml:space="preserve">Evaluación por niveles (SIEE)</w:t>
      </w:r>
    </w:p>
    <w:p>
      <w:pPr>
        <w:spacing w:after="120" w:line="360" w:lineRule="auto"/>
      </w:pPr>
      <w:r>
        <w:rPr>
          <w:rFonts w:ascii="Calibri" w:cs="Calibri" w:eastAsia="Calibri" w:hAnsi="Calibri"/>
          <w:b w:val="false"/>
          <w:bCs w:val="false"/>
          <w:i/>
          <w:iCs/>
          <w:color w:val="222222"/>
          <w:sz w:val="20"/>
          <w:szCs w:val="20"/>
        </w:rPr>
        <w:t xml:space="preserve">Una sola rúbrica para la competencia integrada del período (no una por saber):</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2493"/>
        <w:gridCol w:w="2493"/>
        <w:gridCol w:w="2493"/>
        <w:gridCol w:w="2493"/>
      </w:tblGrid>
      <w:tr>
        <w:tc>
          <w:tcPr>
            <w:tcW w:type="dxa" w:w="2493"/>
            <w:tcBorders>
              <w:top w:val="single" w:color="BFBFBF" w:sz="4"/>
              <w:left w:val="single" w:color="BFBFBF" w:sz="4"/>
              <w:bottom w:val="single" w:color="BFBFBF" w:sz="4"/>
              <w:right w:val="single" w:color="BFBFBF" w:sz="4"/>
            </w:tcBorders>
            <w:shd w:fill="2E75B6"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8"/>
                <w:szCs w:val="18"/>
              </w:rPr>
              <w:t xml:space="preserve">Bajo</w:t>
            </w:r>
          </w:p>
        </w:tc>
        <w:tc>
          <w:tcPr>
            <w:tcW w:type="dxa" w:w="2493"/>
            <w:tcBorders>
              <w:top w:val="single" w:color="BFBFBF" w:sz="4"/>
              <w:left w:val="single" w:color="BFBFBF" w:sz="4"/>
              <w:bottom w:val="single" w:color="BFBFBF" w:sz="4"/>
              <w:right w:val="single" w:color="BFBFBF" w:sz="4"/>
            </w:tcBorders>
            <w:shd w:fill="2E75B6"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8"/>
                <w:szCs w:val="18"/>
              </w:rPr>
              <w:t xml:space="preserve">Básico</w:t>
            </w:r>
          </w:p>
        </w:tc>
        <w:tc>
          <w:tcPr>
            <w:tcW w:type="dxa" w:w="2493"/>
            <w:tcBorders>
              <w:top w:val="single" w:color="BFBFBF" w:sz="4"/>
              <w:left w:val="single" w:color="BFBFBF" w:sz="4"/>
              <w:bottom w:val="single" w:color="BFBFBF" w:sz="4"/>
              <w:right w:val="single" w:color="BFBFBF" w:sz="4"/>
            </w:tcBorders>
            <w:shd w:fill="2E75B6"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8"/>
                <w:szCs w:val="18"/>
              </w:rPr>
              <w:t xml:space="preserve">Alto</w:t>
            </w:r>
          </w:p>
        </w:tc>
        <w:tc>
          <w:tcPr>
            <w:tcW w:type="dxa" w:w="2493"/>
            <w:tcBorders>
              <w:top w:val="single" w:color="BFBFBF" w:sz="4"/>
              <w:left w:val="single" w:color="BFBFBF" w:sz="4"/>
              <w:bottom w:val="single" w:color="BFBFBF" w:sz="4"/>
              <w:right w:val="single" w:color="BFBFBF" w:sz="4"/>
            </w:tcBorders>
            <w:shd w:fill="2E75B6" w:color="auto" w:val="clear"/>
            <w:tcMar>
              <w:top w:type="dxa" w:w="30"/>
              <w:left w:type="dxa" w:w="70"/>
              <w:bottom w:type="dxa" w:w="30"/>
              <w:right w:type="dxa" w:w="70"/>
            </w:tcMar>
            <w:vAlign w:val="center"/>
          </w:tcPr>
          <w:p>
            <w:pPr>
              <w:spacing w:after="120" w:line="360" w:lineRule="auto"/>
            </w:pPr>
            <w:r>
              <w:rPr>
                <w:rFonts w:ascii="Calibri" w:cs="Calibri" w:eastAsia="Calibri" w:hAnsi="Calibri"/>
                <w:b/>
                <w:bCs/>
                <w:i w:val="false"/>
                <w:iCs w:val="false"/>
                <w:color w:val="FFFFFF"/>
                <w:sz w:val="18"/>
                <w:szCs w:val="18"/>
              </w:rPr>
              <w:t xml:space="preserve">Superior</w:t>
            </w:r>
          </w:p>
        </w:tc>
      </w:tr>
      <w:tr>
        <w:tc>
          <w:tcPr>
            <w:tcW w:type="dxa" w:w="2493"/>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Reconoce algunas medidas de forma superficial y presenta dificultad para calcularlas e interpretarlas.</w:t>
            </w:r>
          </w:p>
        </w:tc>
        <w:tc>
          <w:tcPr>
            <w:tcW w:type="dxa" w:w="2493"/>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Calcula e interpreta medidas en ejercicios guiados, con explicaciones limitadas.</w:t>
            </w:r>
          </w:p>
        </w:tc>
        <w:tc>
          <w:tcPr>
            <w:tcW w:type="dxa" w:w="2493"/>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Analiza e interpreta datos usando diversas medidas y argumenta sus conclusiones con claridad.</w:t>
            </w:r>
          </w:p>
        </w:tc>
        <w:tc>
          <w:tcPr>
            <w:tcW w:type="dxa" w:w="2493"/>
            <w:tcBorders>
              <w:top w:val="single" w:color="BFBFBF" w:sz="4"/>
              <w:left w:val="single" w:color="BFBFBF" w:sz="4"/>
              <w:bottom w:val="single" w:color="BFBFBF" w:sz="4"/>
              <w:right w:val="single" w:color="BFBFBF" w:sz="4"/>
            </w:tcBorders>
            <w:tcMar>
              <w:top w:type="dxa" w:w="30"/>
              <w:left w:type="dxa" w:w="70"/>
              <w:bottom w:type="dxa" w:w="30"/>
              <w:right w:type="dxa" w:w="70"/>
            </w:tcMar>
            <w:vAlign w:val="top"/>
          </w:tcPr>
          <w:p>
            <w:pPr>
              <w:spacing w:after="120" w:line="360" w:lineRule="auto"/>
            </w:pPr>
            <w:r>
              <w:rPr>
                <w:rFonts w:ascii="Calibri" w:cs="Calibri" w:eastAsia="Calibri" w:hAnsi="Calibri"/>
                <w:b w:val="false"/>
                <w:bCs w:val="false"/>
                <w:i w:val="false"/>
                <w:iCs w:val="false"/>
                <w:color w:val="222222"/>
                <w:sz w:val="18"/>
                <w:szCs w:val="18"/>
              </w:rPr>
              <w:t xml:space="preserve">Evalúa y complementa distintas medidas en varios contextos, con autonomía y pensamiento crítico.</w:t>
            </w:r>
          </w:p>
        </w:tc>
      </w:tr>
    </w:tbl>
    <w:p>
      <w:pPr>
        <w:pBdr>
          <w:bottom w:val="single" w:color="BF9000" w:sz="6"/>
        </w:pBdr>
        <w:spacing w:after="80" w:before="160" w:line="360" w:lineRule="auto"/>
      </w:pPr>
      <w:r>
        <w:rPr>
          <w:rFonts w:ascii="Calibri" w:cs="Calibri" w:eastAsia="Calibri" w:hAnsi="Calibri"/>
          <w:b/>
          <w:bCs/>
          <w:i w:val="false"/>
          <w:iCs w:val="false"/>
          <w:color w:val="1F4E79"/>
          <w:sz w:val="23"/>
          <w:szCs w:val="23"/>
        </w:rPr>
        <w:t xml:space="preserve">Articulación transversal (ejemplo)</w:t>
      </w:r>
    </w:p>
    <w:p>
      <w:pPr>
        <w:spacing w:after="120" w:line="360" w:lineRule="auto"/>
      </w:pPr>
      <w:r>
        <w:rPr>
          <w:rFonts w:ascii="Calibri" w:cs="Calibri" w:eastAsia="Calibri" w:hAnsi="Calibri"/>
          <w:b w:val="false"/>
          <w:bCs w:val="false"/>
          <w:i w:val="false"/>
          <w:iCs w:val="false"/>
          <w:color w:val="222222"/>
          <w:sz w:val="20"/>
          <w:szCs w:val="20"/>
        </w:rPr>
        <w:t xml:space="preserve">Educación financiera y PRAE: aplicar medidas de posición y dispersión al análisis de hábitos de ahorro, consumo y cuidado ambiental; mediación con hoja de cálculo e introducción a la analítica de datos (línea de Tecnología e Innovación).</w:t>
      </w:r>
    </w:p>
    <w:p>
      <w:pPr>
        <w:shd w:fill="1F4E79" w:color="auto" w:val="clear"/>
        <w:spacing w:after="120" w:before="120" w:line="360" w:lineRule="auto"/>
      </w:pPr>
      <w:r>
        <w:rPr>
          <w:rFonts w:ascii="Calibri" w:cs="Calibri" w:eastAsia="Calibri" w:hAnsi="Calibri"/>
          <w:b/>
          <w:bCs/>
          <w:i w:val="false"/>
          <w:iCs w:val="false"/>
          <w:color w:val="FFFFFF"/>
          <w:sz w:val="24"/>
          <w:szCs w:val="24"/>
        </w:rPr>
        <w:t xml:space="preserve">7. Nota sobre la Media Técnica</w:t>
      </w:r>
    </w:p>
    <w:p>
      <w:pPr>
        <w:spacing w:after="120" w:line="360" w:lineRule="auto"/>
      </w:pPr>
      <w:r>
        <w:rPr>
          <w:rFonts w:ascii="Calibri" w:cs="Calibri" w:eastAsia="Calibri" w:hAnsi="Calibri"/>
          <w:b w:val="false"/>
          <w:bCs w:val="false"/>
          <w:i w:val="false"/>
          <w:iCs w:val="false"/>
          <w:color w:val="222222"/>
          <w:sz w:val="22"/>
          <w:szCs w:val="22"/>
        </w:rPr>
        <w:t xml:space="preserve">Las asignaturas del área técnica en la Media (grados 10° y 11°) se diligencian con este </w:t>
      </w:r>
      <w:r>
        <w:rPr>
          <w:rFonts w:ascii="Calibri" w:cs="Calibri" w:eastAsia="Calibri" w:hAnsi="Calibri"/>
          <w:b/>
          <w:bCs/>
          <w:i w:val="false"/>
          <w:iCs w:val="false"/>
          <w:color w:val="222222"/>
          <w:sz w:val="22"/>
          <w:szCs w:val="22"/>
        </w:rPr>
        <w:t xml:space="preserve">mismo formato base</w:t>
      </w:r>
      <w:r>
        <w:rPr>
          <w:rFonts w:ascii="Calibri" w:cs="Calibri" w:eastAsia="Calibri" w:hAnsi="Calibri"/>
          <w:b w:val="false"/>
          <w:bCs w:val="false"/>
          <w:i w:val="false"/>
          <w:iCs w:val="false"/>
          <w:color w:val="222222"/>
          <w:sz w:val="22"/>
          <w:szCs w:val="22"/>
        </w:rPr>
        <w:t xml:space="preserve">. El componente pedagógico específico que exige el trámite de modificación de licencia corre por una ruta paralela (tarea 1.5.5), con sus propios tiempos y requisitos, y no incorpora lógicas ajenas a la educación formal (créditos u ocupaciones) dentro del plan de estudios. La denominación del programa técnico se confirma antes de su diseño.</w:t>
      </w:r>
    </w:p>
    <w:p>
      <w:pPr>
        <w:shd w:fill="1F4E79" w:color="auto" w:val="clear"/>
        <w:spacing w:after="120" w:before="120" w:line="360" w:lineRule="auto"/>
      </w:pPr>
      <w:r>
        <w:rPr>
          <w:rFonts w:ascii="Calibri" w:cs="Calibri" w:eastAsia="Calibri" w:hAnsi="Calibri"/>
          <w:b/>
          <w:bCs/>
          <w:i w:val="false"/>
          <w:iCs w:val="false"/>
          <w:color w:val="FFFFFF"/>
          <w:sz w:val="24"/>
          <w:szCs w:val="24"/>
        </w:rPr>
        <w:t xml:space="preserve">8. Ruta de validación y adopción</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1.5.6</w:t>
      </w:r>
      <w:r>
        <w:rPr>
          <w:rFonts w:ascii="Calibri" w:cs="Calibri" w:eastAsia="Calibri" w:hAnsi="Calibri"/>
          <w:b w:val="false"/>
          <w:bCs w:val="false"/>
          <w:i w:val="false"/>
          <w:iCs w:val="false"/>
          <w:color w:val="222222"/>
          <w:sz w:val="22"/>
          <w:szCs w:val="22"/>
        </w:rPr>
        <w:t xml:space="preserve"> — Generación de la propuesta de mallas por área y grado (con apoyo de EICIT).</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Validación técnica y normativa</w:t>
      </w:r>
      <w:r>
        <w:rPr>
          <w:rFonts w:ascii="Calibri" w:cs="Calibri" w:eastAsia="Calibri" w:hAnsi="Calibri"/>
          <w:b w:val="false"/>
          <w:bCs w:val="false"/>
          <w:i w:val="false"/>
          <w:iCs w:val="false"/>
          <w:color w:val="222222"/>
          <w:sz w:val="22"/>
          <w:szCs w:val="22"/>
        </w:rPr>
        <w:t xml:space="preserve"> — cumplimiento del 80/20, áreas obligatorias y referentes obligatorios incorporados.</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1.5.7</w:t>
      </w:r>
      <w:r>
        <w:rPr>
          <w:rFonts w:ascii="Calibri" w:cs="Calibri" w:eastAsia="Calibri" w:hAnsi="Calibri"/>
          <w:b w:val="false"/>
          <w:bCs w:val="false"/>
          <w:i w:val="false"/>
          <w:iCs w:val="false"/>
          <w:color w:val="222222"/>
          <w:sz w:val="22"/>
          <w:szCs w:val="22"/>
        </w:rPr>
        <w:t xml:space="preserve"> — Validación por los jefes de área.</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1.5.8</w:t>
      </w:r>
      <w:r>
        <w:rPr>
          <w:rFonts w:ascii="Calibri" w:cs="Calibri" w:eastAsia="Calibri" w:hAnsi="Calibri"/>
          <w:b w:val="false"/>
          <w:bCs w:val="false"/>
          <w:i w:val="false"/>
          <w:iCs w:val="false"/>
          <w:color w:val="222222"/>
          <w:sz w:val="22"/>
          <w:szCs w:val="22"/>
        </w:rPr>
        <w:t xml:space="preserve"> — Consolidación de observaciones y versión final.</w:t>
      </w:r>
    </w:p>
    <w:p>
      <w:pPr>
        <w:pStyle w:val="ListParagraph"/>
        <w:numPr>
          <w:ilvl w:val="0"/>
          <w:numId w:val="2"/>
        </w:numPr>
        <w:spacing w:after="120" w:line="360" w:lineRule="auto"/>
      </w:pPr>
      <w:r>
        <w:rPr>
          <w:rFonts w:ascii="Calibri" w:cs="Calibri" w:eastAsia="Calibri" w:hAnsi="Calibri"/>
          <w:b/>
          <w:bCs/>
          <w:i w:val="false"/>
          <w:iCs w:val="false"/>
          <w:color w:val="222222"/>
          <w:sz w:val="22"/>
          <w:szCs w:val="22"/>
        </w:rPr>
        <w:t xml:space="preserve">Adopción institucional</w:t>
      </w:r>
      <w:r>
        <w:rPr>
          <w:rFonts w:ascii="Calibri" w:cs="Calibri" w:eastAsia="Calibri" w:hAnsi="Calibri"/>
          <w:b w:val="false"/>
          <w:bCs w:val="false"/>
          <w:i w:val="false"/>
          <w:iCs w:val="false"/>
          <w:color w:val="222222"/>
          <w:sz w:val="22"/>
          <w:szCs w:val="22"/>
        </w:rPr>
        <w:t xml:space="preserve"> — Consejo Académico → Consejo Directivo → resolución rectoral.</w:t>
      </w:r>
    </w:p>
    <w:p>
      <w:pPr>
        <w:spacing w:after="120" w:line="360" w:lineRule="auto"/>
      </w:pPr>
      <w:r>
        <w:rPr>
          <w:rFonts w:ascii="Calibri" w:cs="Calibri" w:eastAsia="Calibri" w:hAnsi="Calibri"/>
          <w:b w:val="false"/>
          <w:bCs w:val="false"/>
          <w:i/>
          <w:iCs/>
          <w:color w:val="222222"/>
          <w:sz w:val="22"/>
          <w:szCs w:val="22"/>
        </w:rPr>
        <w:t xml:space="preserve">El diseño de mallas (Fase 4) procede únicamente sobre el modelo pedagógico ya validado (candado de la Fase 3).</w:t>
      </w:r>
    </w:p>
    <w:sectPr>
      <w:pgSz w:w="12240" w:h="1872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Instructivo — Formato de plan de estudios (CMA)</dc:title>
  <dc:creator>EICIT IA</dc:creator>
  <cp:lastModifiedBy>Un-named</cp:lastModifiedBy>
  <cp:revision>1</cp:revision>
  <dcterms:created xsi:type="dcterms:W3CDTF">2026-09-16T23:08:54.553Z</dcterms:created>
  <dcterms:modified xsi:type="dcterms:W3CDTF">2026-09-16T23:08:54.553Z</dcterms:modified>
</cp:coreProperties>
</file>

<file path=docProps/custom.xml><?xml version="1.0" encoding="utf-8"?>
<Properties xmlns="http://schemas.openxmlformats.org/officeDocument/2006/custom-properties" xmlns:vt="http://schemas.openxmlformats.org/officeDocument/2006/docPropsVTypes"/>
</file>