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i w:val="false"/>
          <w:iCs w:val="false"/>
          <w:color w:val="4472C4"/>
          <w:sz w:val="28"/>
          <w:szCs w:val="28"/>
        </w:rPr>
        <w:t xml:space="preserve">M&amp;A / FINANCE TRANSFORMATION</w:t>
      </w:r>
    </w:p>
    <w:p>
      <w:pPr>
        <w:spacing w:after="200"/>
        <w:jc w:val="center"/>
      </w:pPr>
      <w:r>
        <w:rPr>
          <w:rFonts w:ascii="Arial" w:cs="Arial" w:eastAsia="Arial" w:hAnsi="Arial"/>
          <w:b/>
          <w:bCs/>
          <w:i w:val="false"/>
          <w:iCs w:val="false"/>
          <w:color w:val="1B365D"/>
          <w:sz w:val="48"/>
          <w:szCs w:val="48"/>
        </w:rPr>
        <w:t xml:space="preserve">AI-Driven Deal Workflow</w:t>
      </w:r>
    </w:p>
    <w:p>
      <w:pPr>
        <w:spacing w:after="400"/>
        <w:jc w:val="center"/>
      </w:pPr>
      <w:r>
        <w:rPr>
          <w:rFonts w:ascii="Arial" w:cs="Arial" w:eastAsia="Arial" w:hAnsi="Arial"/>
          <w:b w:val="false"/>
          <w:bCs w:val="false"/>
          <w:i w:val="false"/>
          <w:iCs w:val="false"/>
          <w:color w:val="2E5090"/>
          <w:sz w:val="28"/>
          <w:szCs w:val="28"/>
        </w:rPr>
        <w:t xml:space="preserve">Decision Tree, Dynamic Checklist Engine &amp; Agentic Architecture</w:t>
      </w:r>
    </w:p>
    <w:p>
      <w:pPr>
        <w:spacing w:after="200"/>
        <w:jc w:val="center"/>
      </w:pPr>
      <w:r>
        <w:rPr>
          <w:rFonts w:ascii="Arial" w:cs="Arial" w:eastAsia="Arial" w:hAnsi="Arial"/>
          <w:i/>
          <w:iCs/>
          <w:color w:val="666666"/>
          <w:sz w:val="22"/>
          <w:szCs w:val="22"/>
        </w:rPr>
        <w:t xml:space="preserve">v1.0 Beta  |  February 2026  |  DRAFT</w:t>
      </w:r>
    </w:p>
    <w:p>
      <w:pPr>
        <w:spacing w:before="600"/>
      </w:pPr>
    </w:p>
    <w:p>
      <w:pPr>
        <w:spacing w:after="120"/>
        <w:jc w:val="center"/>
      </w:pPr>
      <w:r>
        <w:rPr>
          <w:rFonts w:ascii="Arial" w:cs="Arial" w:eastAsia="Arial" w:hAnsi="Arial"/>
          <w:b w:val="false"/>
          <w:bCs w:val="false"/>
          <w:i/>
          <w:iCs/>
          <w:color w:val="888888"/>
          <w:sz w:val="20"/>
          <w:szCs w:val="20"/>
        </w:rPr>
        <w:t xml:space="preserve">Companion to: MA Training Model Framework (Feb 2026)</w:t>
      </w:r>
    </w:p>
    <w:p>
      <w:pPr>
        <w:spacing w:after="120"/>
        <w:jc w:val="center"/>
      </w:pPr>
      <w:r>
        <w:rPr>
          <w:rFonts w:ascii="Arial" w:cs="Arial" w:eastAsia="Arial" w:hAnsi="Arial"/>
          <w:b w:val="false"/>
          <w:bCs w:val="false"/>
          <w:i/>
          <w:iCs/>
          <w:color w:val="888888"/>
          <w:sz w:val="20"/>
          <w:szCs w:val="20"/>
        </w:rPr>
        <w:t xml:space="preserve">PRD: AI-Driven M&amp;A Finance Transformation Product</w:t>
      </w:r>
    </w:p>
    <w:p>
      <w:pPr>
        <w:sectPr>
          <w:pgSz w:w="15840" w:h="12240" w:orient="landscape"/>
          <w:pgMar w:top="1080" w:right="1080" w:bottom="1080" w:left="1080" w:header="708" w:footer="708" w:gutter="0"/>
          <w:pgNumType/>
          <w:docGrid w:linePitch="360"/>
        </w:sectPr>
      </w:pPr>
    </w:p>
    <w:p>
      <w:pPr>
        <w:pStyle w:val="Heading1"/>
        <w:spacing w:before="200" w:after="12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00" w:after="120"/>
      </w:pPr>
      <w:r>
        <w:rPr>
          <w:rFonts w:ascii="Arial" w:cs="Arial" w:eastAsia="Arial" w:hAnsi="Arial"/>
        </w:rPr>
        <w:t xml:space="preserve">1. Executive Summary &amp; Purpose</w:t>
      </w:r>
    </w:p>
    <w:p>
      <w:pPr>
        <w:spacing w:after="120"/>
        <w:jc w:val="left"/>
      </w:pPr>
      <w:r>
        <w:rPr>
          <w:rFonts w:ascii="Arial" w:cs="Arial" w:eastAsia="Arial" w:hAnsi="Arial"/>
          <w:b w:val="false"/>
          <w:bCs w:val="false"/>
          <w:i w:val="false"/>
          <w:iCs w:val="false"/>
          <w:color w:val="000000"/>
          <w:sz w:val="20"/>
          <w:szCs w:val="20"/>
        </w:rPr>
        <w:t xml:space="preserve">This document defines the preliminary decision tree (v1.0 Beta) for an AI-driven M&amp;A deal workflow engine. It specifies the minimum deal intake inputs required to dynamically generate, configure, and manage a working checklist of integration activities from Day 1 through Year 1 post-close.</w:t>
      </w:r>
    </w:p>
    <w:p>
      <w:pPr>
        <w:spacing w:after="120"/>
        <w:jc w:val="left"/>
      </w:pPr>
      <w:r>
        <w:rPr>
          <w:rFonts w:ascii="Arial" w:cs="Arial" w:eastAsia="Arial" w:hAnsi="Arial"/>
          <w:b w:val="false"/>
          <w:bCs w:val="false"/>
          <w:i w:val="false"/>
          <w:iCs w:val="false"/>
          <w:color w:val="000000"/>
          <w:sz w:val="20"/>
          <w:szCs w:val="20"/>
        </w:rPr>
        <w:t xml:space="preserve">The framework addresses three interconnected questions:</w:t>
      </w:r>
    </w:p>
    <w:p>
      <w:pPr>
        <w:spacing w:after="120"/>
      </w:pPr>
      <w:r>
        <w:rPr>
          <w:rFonts w:ascii="Arial" w:cs="Arial" w:eastAsia="Arial" w:hAnsi="Arial"/>
          <w:b/>
          <w:bCs/>
          <w:i w:val="false"/>
          <w:iCs w:val="false"/>
          <w:color w:val="000000"/>
          <w:sz w:val="20"/>
          <w:szCs w:val="20"/>
        </w:rPr>
        <w:t xml:space="preserve">1. Minimum Viable Intake: </w:t>
      </w:r>
      <w:r>
        <w:rPr>
          <w:rFonts w:ascii="Arial" w:cs="Arial" w:eastAsia="Arial" w:hAnsi="Arial"/>
          <w:b w:val="false"/>
          <w:bCs w:val="false"/>
          <w:i w:val="false"/>
          <w:iCs w:val="false"/>
          <w:color w:val="000000"/>
          <w:sz w:val="20"/>
          <w:szCs w:val="20"/>
        </w:rPr>
        <w:t xml:space="preserve">What is the smallest set of deal parameters that allows the system to configure a meaningful workflow? We identify 12 core intake fields organized into 3 tiers.</w:t>
      </w:r>
    </w:p>
    <w:p>
      <w:pPr>
        <w:spacing w:after="120"/>
      </w:pPr>
      <w:r>
        <w:rPr>
          <w:rFonts w:ascii="Arial" w:cs="Arial" w:eastAsia="Arial" w:hAnsi="Arial"/>
          <w:b/>
          <w:bCs/>
          <w:i w:val="false"/>
          <w:iCs w:val="false"/>
          <w:color w:val="000000"/>
          <w:sz w:val="20"/>
          <w:szCs w:val="20"/>
        </w:rPr>
        <w:t xml:space="preserve">2. Dynamic Checklist Generation: </w:t>
      </w:r>
      <w:r>
        <w:rPr>
          <w:rFonts w:ascii="Arial" w:cs="Arial" w:eastAsia="Arial" w:hAnsi="Arial"/>
          <w:b w:val="false"/>
          <w:bCs w:val="false"/>
          <w:i w:val="false"/>
          <w:iCs w:val="false"/>
          <w:color w:val="000000"/>
          <w:sz w:val="20"/>
          <w:szCs w:val="20"/>
        </w:rPr>
        <w:t xml:space="preserve">How do intake responses cascade into workstream activation, task scoping, and phase assignment? We map the decision logic from intake through the 443-item Finance Readiness Checklist.</w:t>
      </w:r>
    </w:p>
    <w:p>
      <w:pPr>
        <w:spacing w:after="120"/>
      </w:pPr>
      <w:r>
        <w:rPr>
          <w:rFonts w:ascii="Arial" w:cs="Arial" w:eastAsia="Arial" w:hAnsi="Arial"/>
          <w:b/>
          <w:bCs/>
          <w:i w:val="false"/>
          <w:iCs w:val="false"/>
          <w:color w:val="000000"/>
          <w:sz w:val="20"/>
          <w:szCs w:val="20"/>
        </w:rPr>
        <w:t xml:space="preserve">3. Agentic Workflow Architecture: </w:t>
      </w:r>
      <w:r>
        <w:rPr>
          <w:rFonts w:ascii="Arial" w:cs="Arial" w:eastAsia="Arial" w:hAnsi="Arial"/>
          <w:b w:val="false"/>
          <w:bCs w:val="false"/>
          <w:i w:val="false"/>
          <w:iCs w:val="false"/>
          <w:color w:val="000000"/>
          <w:sz w:val="20"/>
          <w:szCs w:val="20"/>
        </w:rPr>
        <w:t xml:space="preserve">How can AI agents support, monitor, and evolve the deal checklist over the integration lifecycle? We present three phased variants from reactive monitoring to proactive orchestration.</w:t>
      </w:r>
    </w:p>
    <w:p>
      <w:pPr>
        <w:spacing w:after="120"/>
      </w:pPr>
      <w:r>
        <w:rPr>
          <w:rFonts w:ascii="Arial" w:cs="Arial" w:eastAsia="Arial" w:hAnsi="Arial"/>
          <w:b/>
          <w:bCs/>
          <w:i w:val="false"/>
          <w:iCs w:val="false"/>
          <w:color w:val="000000"/>
          <w:sz w:val="20"/>
          <w:szCs w:val="20"/>
        </w:rPr>
        <w:t xml:space="preserve">Target Persona: </w:t>
      </w:r>
      <w:r>
        <w:rPr>
          <w:rFonts w:ascii="Arial" w:cs="Arial" w:eastAsia="Arial" w:hAnsi="Arial"/>
          <w:b w:val="false"/>
          <w:bCs w:val="false"/>
          <w:i w:val="false"/>
          <w:iCs w:val="false"/>
          <w:color w:val="000000"/>
          <w:sz w:val="20"/>
          <w:szCs w:val="20"/>
        </w:rPr>
        <w:t xml:space="preserve">Consultant or PMO advisor on a deal team, managing post-close integration through Day 1 to Year 1.</w:t>
      </w:r>
    </w:p>
    <w:p>
      <w:pPr>
        <w:spacing w:after="120"/>
      </w:pPr>
      <w:r>
        <w:rPr>
          <w:rFonts w:ascii="Arial" w:cs="Arial" w:eastAsia="Arial" w:hAnsi="Arial"/>
          <w:b/>
          <w:bCs/>
          <w:i w:val="false"/>
          <w:iCs w:val="false"/>
          <w:color w:val="000000"/>
          <w:sz w:val="20"/>
          <w:szCs w:val="20"/>
        </w:rPr>
        <w:t xml:space="preserve">Technology Stack: </w:t>
      </w:r>
      <w:r>
        <w:rPr>
          <w:rFonts w:ascii="Arial" w:cs="Arial" w:eastAsia="Arial" w:hAnsi="Arial"/>
          <w:b w:val="false"/>
          <w:bCs w:val="false"/>
          <w:i w:val="false"/>
          <w:iCs w:val="false"/>
          <w:color w:val="000000"/>
          <w:sz w:val="20"/>
          <w:szCs w:val="20"/>
        </w:rPr>
        <w:t xml:space="preserve">Designed for rapid prototyping via Manus/Claude Code with JSON state, Neon (serverless Postgres), and lightweight agent orchestration.</w:t>
      </w:r>
    </w:p>
    <w:p>
      <w:r>
        <w:br w:type="page"/>
      </w:r>
    </w:p>
    <w:p>
      <w:pPr>
        <w:pStyle w:val="Heading1"/>
        <w:spacing w:before="200" w:after="120"/>
      </w:pPr>
      <w:r>
        <w:rPr>
          <w:rFonts w:ascii="Arial" w:cs="Arial" w:eastAsia="Arial" w:hAnsi="Arial"/>
        </w:rPr>
        <w:t xml:space="preserve">2. Minimum Viable Deal Intake (Decision Tree Root)</w:t>
      </w:r>
    </w:p>
    <w:p>
      <w:pPr>
        <w:spacing w:after="120"/>
        <w:jc w:val="left"/>
      </w:pPr>
      <w:r>
        <w:rPr>
          <w:rFonts w:ascii="Arial" w:cs="Arial" w:eastAsia="Arial" w:hAnsi="Arial"/>
          <w:b w:val="false"/>
          <w:bCs w:val="false"/>
          <w:i w:val="false"/>
          <w:iCs w:val="false"/>
          <w:color w:val="000000"/>
          <w:sz w:val="20"/>
          <w:szCs w:val="20"/>
        </w:rPr>
        <w:t xml:space="preserve">The intake form serves as the root node of the decision tree. Every downstream configuration decision flows from these responses. We organize intake fields into three tiers based on criticality and when they become available in the deal lifecycle.</w:t>
      </w:r>
    </w:p>
    <w:p>
      <w:pPr>
        <w:pStyle w:val="Heading2"/>
        <w:spacing w:before="200" w:after="120"/>
      </w:pPr>
      <w:r>
        <w:rPr>
          <w:rFonts w:ascii="Arial" w:cs="Arial" w:eastAsia="Arial" w:hAnsi="Arial"/>
        </w:rPr>
        <w:t xml:space="preserve">2.1 Tier 1: Gate Fields (Required to Generate Any Workflow)</w:t>
      </w:r>
    </w:p>
    <w:p>
      <w:pPr>
        <w:spacing w:after="120"/>
        <w:jc w:val="left"/>
      </w:pPr>
      <w:r>
        <w:rPr>
          <w:rFonts w:ascii="Arial" w:cs="Arial" w:eastAsia="Arial" w:hAnsi="Arial"/>
          <w:b w:val="false"/>
          <w:bCs w:val="false"/>
          <w:i w:val="false"/>
          <w:iCs w:val="false"/>
          <w:color w:val="000000"/>
          <w:sz w:val="20"/>
          <w:szCs w:val="20"/>
        </w:rPr>
        <w:t xml:space="preserve">These 5 fields must be captured before the system can generate a single checklist item. They represent the absolute minimum viable intake.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200"/>
        <w:gridCol w:w="3480"/>
      </w:tblGrid>
      <w:tr>
        <w:tc>
          <w:tcPr>
            <w:tcW w:type="dxa" w:w="1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 Type</w:t>
            </w:r>
          </w:p>
        </w:tc>
        <w:tc>
          <w:tcPr>
            <w:tcW w:type="dxa" w:w="2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Options / Range</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 Tree Impact</w:t>
            </w:r>
          </w:p>
        </w:tc>
        <w:tc>
          <w:tcPr>
            <w:tcW w:type="dxa" w:w="34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PRD Mapping</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Deal Structure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Single-select dropdown</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Stock Purchase | Asset Purchase | Merger (Forward/Reverse Triangular) | Carve-Out/Divestiture | F-Reorganization</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pPr>
            <w:r>
              <w:rPr>
                <w:rFonts w:ascii="Arial" w:cs="Arial" w:eastAsia="Arial" w:hAnsi="Arial"/>
                <w:b/>
                <w:bCs/>
                <w:i w:val="false"/>
                <w:iCs w:val="false"/>
                <w:color w:val="000000"/>
                <w:sz w:val="17"/>
                <w:szCs w:val="17"/>
              </w:rPr>
              <w:t xml:space="preserve">Primary branching node. </w:t>
            </w:r>
            <w:r>
              <w:rPr>
                <w:rFonts w:ascii="Arial" w:cs="Arial" w:eastAsia="Arial" w:hAnsi="Arial"/>
                <w:b w:val="false"/>
                <w:bCs w:val="false"/>
                <w:i w:val="false"/>
                <w:iCs w:val="false"/>
                <w:color w:val="000000"/>
                <w:sz w:val="17"/>
                <w:szCs w:val="17"/>
              </w:rPr>
              <w:t xml:space="preserve">Determines liability transfer scope, tax workstream depth, contract review needs, TSA probability. Carve-out triggers full TSA + stranded costs. Stock purchase enables full Internal Controls scope.</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 FR-3, FR-14</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Integration Model</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Single-select dropdown</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Fully Integrated | Hybrid (Selective) | Standalone / Platform Add-On</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pPr>
            <w:r>
              <w:rPr>
                <w:rFonts w:ascii="Arial" w:cs="Arial" w:eastAsia="Arial" w:hAnsi="Arial"/>
                <w:b/>
                <w:bCs/>
                <w:i w:val="false"/>
                <w:iCs w:val="false"/>
                <w:color w:val="000000"/>
                <w:sz w:val="17"/>
                <w:szCs w:val="17"/>
              </w:rPr>
              <w:t xml:space="preserve">Scope multiplier. </w:t>
            </w:r>
            <w:r>
              <w:rPr>
                <w:rFonts w:ascii="Arial" w:cs="Arial" w:eastAsia="Arial" w:hAnsi="Arial"/>
                <w:b w:val="false"/>
                <w:bCs w:val="false"/>
                <w:i w:val="false"/>
                <w:iCs w:val="false"/>
                <w:color w:val="000000"/>
                <w:sz w:val="17"/>
                <w:szCs w:val="17"/>
              </w:rPr>
              <w:t xml:space="preserve">Fully integrated activates all 12 workstreams at max scope. Standalone reduces Consolidation, COA mapping, system migration. Hybrid requires function-by-function scoping.</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 FR-3, FR-14</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Target Close Date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Date picker</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Calendar date (expected or confirmed)</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pPr>
            <w:r>
              <w:rPr>
                <w:rFonts w:ascii="Arial" w:cs="Arial" w:eastAsia="Arial" w:hAnsi="Arial"/>
                <w:b/>
                <w:bCs/>
                <w:i w:val="false"/>
                <w:iCs w:val="false"/>
                <w:color w:val="000000"/>
                <w:sz w:val="17"/>
                <w:szCs w:val="17"/>
              </w:rPr>
              <w:t xml:space="preserve">Timeline anchor. </w:t>
            </w:r>
            <w:r>
              <w:rPr>
                <w:rFonts w:ascii="Arial" w:cs="Arial" w:eastAsia="Arial" w:hAnsi="Arial"/>
                <w:b w:val="false"/>
                <w:bCs w:val="false"/>
                <w:i w:val="false"/>
                <w:iCs w:val="false"/>
                <w:color w:val="000000"/>
                <w:sz w:val="17"/>
                <w:szCs w:val="17"/>
              </w:rPr>
              <w:t xml:space="preserve">All phase milestones (Day 1, Day 30, Day 60, Day 90, Year 1) calculate from this date. Drives urgency scoring and critical-path highlighting.</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FR-4, FR-5, FR-12</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Cross-Border (Y/N)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Toggle + multi-select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Yes/No; if Yes: jurisdiction picker (US, EU, UK, APAC, LatAm, Other)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pPr>
            <w:r>
              <w:rPr>
                <w:rFonts w:ascii="Arial" w:cs="Arial" w:eastAsia="Arial" w:hAnsi="Arial"/>
                <w:b/>
                <w:bCs/>
                <w:i w:val="false"/>
                <w:iCs w:val="false"/>
                <w:color w:val="000000"/>
                <w:sz w:val="17"/>
                <w:szCs w:val="17"/>
              </w:rPr>
              <w:t xml:space="preserve">Complexity multiplier. </w:t>
            </w:r>
            <w:r>
              <w:rPr>
                <w:rFonts w:ascii="Arial" w:cs="Arial" w:eastAsia="Arial" w:hAnsi="Arial"/>
                <w:b w:val="false"/>
                <w:bCs w:val="false"/>
                <w:i w:val="false"/>
                <w:iCs w:val="false"/>
                <w:color w:val="000000"/>
                <w:sz w:val="17"/>
                <w:szCs w:val="17"/>
              </w:rPr>
              <w:t xml:space="preserve">Enables IFRS/GAAP alignment, FX hedging, transfer pricing, CFIUS/antitrust, TUPE/works council, data privacy (GDPR/AI Act), indirect tax. Each jurisdiction adds regulatory sub-tasks.</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 FR-6, FR-14, FR-23</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TSA Required (Y/N)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Toggle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Yes / No / To Be Determined</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pPr>
            <w:r>
              <w:rPr>
                <w:rFonts w:ascii="Arial" w:cs="Arial" w:eastAsia="Arial" w:hAnsi="Arial"/>
                <w:b/>
                <w:bCs/>
                <w:i w:val="false"/>
                <w:iCs w:val="false"/>
                <w:color w:val="000000"/>
                <w:sz w:val="17"/>
                <w:szCs w:val="17"/>
              </w:rPr>
              <w:t xml:space="preserve">Workstream gate. </w:t>
            </w:r>
            <w:r>
              <w:rPr>
                <w:rFonts w:ascii="Arial" w:cs="Arial" w:eastAsia="Arial" w:hAnsi="Arial"/>
                <w:b w:val="false"/>
                <w:bCs w:val="false"/>
                <w:i w:val="false"/>
                <w:iCs w:val="false"/>
                <w:color w:val="000000"/>
                <w:sz w:val="17"/>
                <w:szCs w:val="17"/>
              </w:rPr>
              <w:t xml:space="preserve">If Yes: enables full TSA workstream (FR-16 through FR-18), TSA service categorization, exit planning, pricing model selection. If TBD: flags for early determination.</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 FR-16, FR-17</w:t>
            </w:r>
          </w:p>
        </w:tc>
      </w:tr>
    </w:tbl>
    <w:p>
      <w:pPr>
        <w:spacing w:after="200"/>
      </w:pPr>
    </w:p>
    <w:p>
      <w:pPr>
        <w:pStyle w:val="Heading2"/>
        <w:spacing w:before="200" w:after="120"/>
      </w:pPr>
      <w:r>
        <w:rPr>
          <w:rFonts w:ascii="Arial" w:cs="Arial" w:eastAsia="Arial" w:hAnsi="Arial"/>
        </w:rPr>
        <w:t xml:space="preserve">2.2 Tier 2: Configuration Fields (Required for Accurate Scoping)</w:t>
      </w:r>
    </w:p>
    <w:p>
      <w:pPr>
        <w:spacing w:after="120"/>
        <w:jc w:val="left"/>
      </w:pPr>
      <w:r>
        <w:rPr>
          <w:rFonts w:ascii="Arial" w:cs="Arial" w:eastAsia="Arial" w:hAnsi="Arial"/>
          <w:b w:val="false"/>
          <w:bCs w:val="false"/>
          <w:i w:val="false"/>
          <w:iCs w:val="false"/>
          <w:color w:val="000000"/>
          <w:sz w:val="20"/>
          <w:szCs w:val="20"/>
        </w:rPr>
        <w:t xml:space="preserve">These 4 fields refine the workflow but the system can generate a preliminary checklist without them. They should be captured within the first working session.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200"/>
        <w:gridCol w:w="3480"/>
      </w:tblGrid>
      <w:tr>
        <w:tc>
          <w:tcPr>
            <w:tcW w:type="dxa" w:w="1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 Type</w:t>
            </w:r>
          </w:p>
        </w:tc>
        <w:tc>
          <w:tcPr>
            <w:tcW w:type="dxa" w:w="2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Options / Range</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 Tree Impact</w:t>
            </w:r>
          </w:p>
        </w:tc>
        <w:tc>
          <w:tcPr>
            <w:tcW w:type="dxa" w:w="34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PRD Mapping</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Industry / Sector</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Single-select dropdown</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Technology | Healthcare/Pharma | Financial Services | Defense/Aerospace | Manufacturing | Energy | Consumer/Retail | Other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Enables sector-specific regulatory overlays: CFIUS sensitivity (defense), FDA (pharma), banking licenses (financial services), ITAR/EAR (defense/tech). Adjusts DD prompts per Section 5.1.</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FR-6</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Shared Services Transfer</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Multi-select checkboxes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AR/AP | Payroll | GL Close | Tax Filing | Treasury | IT Infrastructure | HR Admin | None (all retained by seller)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Per Section 1.2: functions transferring to buyer grey out corresponding TSA line items. Functions retained by seller enable TSA coverage + exit planning for those services.</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FR-3, FR-16, FR-18</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Deal Value Range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Dropdown band</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&lt;$50M | $50M-$250M | $250M-$1B | $1B-$5B | &gt;$5B</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Drives regulatory thresholds: HSR filing ($119.5M+), EUMR (EUR 5B combined), Pillar Two (EUR 750M revenue). Scales governance complexity and integration budget workstream.</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FR-12, FR-23</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Target # Legal Entities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Numeric input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1-5 | 6-20 | 20+ | Unknown</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Drives consolidation complexity, statutory reporting scope, intercompany elimination workload, and entity rationalization planning. &gt;5 entities triggers full Consolidation workstream.</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FR-14</w:t>
            </w:r>
          </w:p>
        </w:tc>
      </w:tr>
    </w:tbl>
    <w:p>
      <w:pPr>
        <w:spacing w:after="200"/>
      </w:pPr>
    </w:p>
    <w:p>
      <w:pPr>
        <w:pStyle w:val="Heading2"/>
        <w:spacing w:before="200" w:after="120"/>
      </w:pPr>
      <w:r>
        <w:rPr>
          <w:rFonts w:ascii="Arial" w:cs="Arial" w:eastAsia="Arial" w:hAnsi="Arial"/>
        </w:rPr>
        <w:t xml:space="preserve">2.3 Tier 3: Enrichment Fields (Enhance AI Insights)</w:t>
      </w:r>
    </w:p>
    <w:p>
      <w:pPr>
        <w:spacing w:after="120"/>
        <w:jc w:val="left"/>
      </w:pPr>
      <w:r>
        <w:rPr>
          <w:rFonts w:ascii="Arial" w:cs="Arial" w:eastAsia="Arial" w:hAnsi="Arial"/>
          <w:b w:val="false"/>
          <w:bCs w:val="false"/>
          <w:i w:val="false"/>
          <w:iCs w:val="false"/>
          <w:color w:val="000000"/>
          <w:sz w:val="20"/>
          <w:szCs w:val="20"/>
        </w:rPr>
        <w:t xml:space="preserve">These fields improve AI risk assessment and guidance quality but are not required for workflow generation. They can be collected progressively as deal intelligence matures.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200"/>
        <w:gridCol w:w="3480"/>
      </w:tblGrid>
      <w:tr>
        <w:tc>
          <w:tcPr>
            <w:tcW w:type="dxa" w:w="1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 Type</w:t>
            </w:r>
          </w:p>
        </w:tc>
        <w:tc>
          <w:tcPr>
            <w:tcW w:type="dxa" w:w="2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Options / Range</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 Tree Impact</w:t>
            </w:r>
          </w:p>
        </w:tc>
        <w:tc>
          <w:tcPr>
            <w:tcW w:type="dxa" w:w="34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PRD Mapping</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Target GAAP Framework</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Single-select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 GAAP | IFRS | Local GAAP | Multiple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If different from acquirer: enables GAAP conversion workstream, adjusts Consolidation complexity, triggers multi-GAAP reporting tasks.</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FR-13, FR-14</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Target ERP System</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Free text / dropdown</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SAP | Oracle | NetSuite | Workday | QuickBooks | Custom / Legacy | Unknown</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Drives IT/ERP separation complexity in TSA, system migration timeline, data extraction feasibility, and COA mapping difficulty.</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FR-14, FR-16</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Buyer M&amp;A Maturity</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Single-select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First acquisition | Occasional (&lt;5 deals) | Serial acquirer (5+ deals) | PE platform / roll-up</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Adjusts guidance depth: first-time buyers get more detailed prompts, templates, and process explanations. Serial acquirers get streamlined views.</w:t>
            </w:r>
          </w:p>
        </w:tc>
        <w:tc>
          <w:tcPr>
            <w:tcW w:type="dxa" w:w="3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FR-13</w:t>
            </w:r>
          </w:p>
        </w:tc>
      </w:tr>
    </w:tbl>
    <w:p>
      <w:r>
        <w:br w:type="page"/>
      </w:r>
    </w:p>
    <w:p>
      <w:pPr>
        <w:pStyle w:val="Heading1"/>
        <w:spacing w:before="200" w:after="120"/>
      </w:pPr>
      <w:r>
        <w:rPr>
          <w:rFonts w:ascii="Arial" w:cs="Arial" w:eastAsia="Arial" w:hAnsi="Arial"/>
        </w:rPr>
        <w:t xml:space="preserve">3. Decision Tree Logic: Intake to Workstream Activation</w:t>
      </w:r>
    </w:p>
    <w:p>
      <w:pPr>
        <w:spacing w:after="120"/>
        <w:jc w:val="left"/>
      </w:pPr>
      <w:r>
        <w:rPr>
          <w:rFonts w:ascii="Arial" w:cs="Arial" w:eastAsia="Arial" w:hAnsi="Arial"/>
          <w:b w:val="false"/>
          <w:bCs w:val="false"/>
          <w:i w:val="false"/>
          <w:iCs w:val="false"/>
          <w:color w:val="000000"/>
          <w:sz w:val="20"/>
          <w:szCs w:val="20"/>
        </w:rPr>
        <w:t xml:space="preserve">This section maps how intake responses cascade through the decision tree to activate, deactivate, or scope each of the 12 workstreams from the Finance Readiness Checklist (443 items). The logic follows a waterfall pattern: Deal Structure sets the baseline, Integration Model adjusts scope, Cross-Border adds overlays, and TSA/Shared Services fine-tunes individual task activation.</w:t>
      </w:r>
    </w:p>
    <w:p>
      <w:pPr>
        <w:pStyle w:val="Heading2"/>
        <w:spacing w:before="200" w:after="120"/>
      </w:pPr>
      <w:r>
        <w:rPr>
          <w:rFonts w:ascii="Arial" w:cs="Arial" w:eastAsia="Arial" w:hAnsi="Arial"/>
        </w:rPr>
        <w:t xml:space="preserve">3.1 Primary Decision Cascade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gridCol w:w="1200"/>
        <w:gridCol w:w="2880"/>
      </w:tblGrid>
      <w:tr>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Workstream (L2)</w:t>
            </w:r>
          </w:p>
        </w:tc>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Stock Purchase</w:t>
            </w:r>
          </w:p>
        </w:tc>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Asset Purchase</w:t>
            </w:r>
          </w:p>
        </w:tc>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Merger</w:t>
            </w:r>
          </w:p>
        </w:tc>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Carve-Out</w:t>
            </w:r>
          </w:p>
        </w:tc>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Standalone Model</w:t>
            </w:r>
          </w:p>
        </w:tc>
        <w:tc>
          <w:tcPr>
            <w:tcW w:type="dxa" w:w="1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Items</w:t>
            </w:r>
          </w:p>
        </w:tc>
        <w:tc>
          <w:tcPr>
            <w:tcW w:type="dxa" w:w="28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Cross-Border Additions</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TSA Assessment &amp; Exit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Unlikely</w:t>
            </w:r>
          </w:p>
        </w:tc>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ALWAYS ON</w:t>
            </w:r>
          </w:p>
        </w:tc>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ALWAYS ON</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70</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Multi-jurisdiction TSA pricing; data localization; GDPR processor agreements</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Consolidation &amp; Reporting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Partial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Minimal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52</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IFRS/GAAP alignment; multi-currency close; statutory reporting by jurisdiction</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Operational Accounting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Review Only</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Partial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68</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Multi-currency AP/AR; cross-border payroll tax; customs duty; VAT recovery</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Internal Controls &amp; SOX</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Reduced</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Reduced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44</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Multi-jurisdiction controls mapping; local regulatory requirements; SOX equivalents</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Income Tax &amp; Compliance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38</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Pillar Two ETR analysis; transfer pricing; WHT optimization; GILTI modeling; CbCR</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Facilities &amp; Real Estate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Review</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Minimal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18</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Cross-border lease law; landlord consent by jurisdiction; property tax differences</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Treasury &amp; Banking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Partial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Partial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32</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Multi-currency cash pools; SWIFT transfers; sanctions screening; FX hedging strategy</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FP&amp;A &amp; Baselining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28</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FX impact modeling; multi-currency budgeting; cross-border synergy validation</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Cybersecurity &amp; Data Privacy</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36</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GDPR DPIA; AI Act compliance; data transfer mechanisms; SCCs; data localization</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ESG &amp; Sustainability</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Partial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Review</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Conditional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22</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EU CSRD reporting; Scope 3 emissions; ESG due diligence across jurisdictions</w:t>
            </w:r>
          </w:p>
        </w:tc>
      </w:tr>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Integration Budget &amp; PMO</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Scope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35</w:t>
            </w:r>
          </w:p>
        </w:tc>
        <w:tc>
          <w:tcPr>
            <w:tcW w:type="dxa" w:w="2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Multi-currency budgeting; cross-border resource costing; FX impact on budget</w:t>
            </w:r>
          </w:p>
        </w:tc>
      </w:tr>
    </w:tbl>
    <w:p>
      <w:pPr>
        <w:spacing w:after="200"/>
      </w:pPr>
    </w:p>
    <w:p>
      <w:pPr>
        <w:pStyle w:val="Heading2"/>
        <w:spacing w:before="200" w:after="120"/>
      </w:pPr>
      <w:r>
        <w:rPr>
          <w:rFonts w:ascii="Arial" w:cs="Arial" w:eastAsia="Arial" w:hAnsi="Arial"/>
        </w:rPr>
        <w:t xml:space="preserve">3.2 Conditional Activation Rules (Pseudocode)</w:t>
      </w:r>
    </w:p>
    <w:p>
      <w:pPr>
        <w:spacing w:after="120"/>
        <w:jc w:val="left"/>
      </w:pPr>
      <w:r>
        <w:rPr>
          <w:rFonts w:ascii="Arial" w:cs="Arial" w:eastAsia="Arial" w:hAnsi="Arial"/>
          <w:b w:val="false"/>
          <w:bCs w:val="false"/>
          <w:i w:val="false"/>
          <w:iCs w:val="false"/>
          <w:color w:val="000000"/>
          <w:sz w:val="20"/>
          <w:szCs w:val="20"/>
        </w:rPr>
        <w:t xml:space="preserve">The following pseudocode represents the core decision logic that the AI engine executes when processing intake responses. This maps directly to the JSON state machine architecture described in Section 5.</w:t>
      </w:r>
    </w:p>
    <w:p>
      <w:pPr>
        <w:spacing w:after="120"/>
        <w:jc w:val="left"/>
      </w:pPr>
      <w:r>
        <w:rPr>
          <w:rFonts w:ascii="Arial" w:cs="Arial" w:eastAsia="Arial" w:hAnsi="Arial"/>
          <w:b/>
          <w:bCs/>
          <w:i w:val="false"/>
          <w:iCs w:val="false"/>
          <w:color w:val="000000"/>
          <w:sz w:val="18"/>
          <w:szCs w:val="18"/>
        </w:rPr>
        <w:t xml:space="preserve">FUNCTION generateWorkflow(intake):</w:t>
      </w:r>
    </w:p>
    <w:p>
      <w:pPr>
        <w:spacing w:after="120"/>
        <w:jc w:val="left"/>
      </w:pPr>
      <w:r>
        <w:rPr>
          <w:rFonts w:ascii="Arial" w:cs="Arial" w:eastAsia="Arial" w:hAnsi="Arial"/>
          <w:b w:val="false"/>
          <w:bCs w:val="false"/>
          <w:i w:val="false"/>
          <w:iCs w:val="false"/>
          <w:color w:val="666666"/>
          <w:sz w:val="17"/>
          <w:szCs w:val="17"/>
        </w:rPr>
        <w:t xml:space="preserve">  // STEP 1: Initialize base checklist from deal structure</w:t>
      </w:r>
    </w:p>
    <w:p>
      <w:pPr>
        <w:spacing w:after="120"/>
        <w:jc w:val="left"/>
      </w:pPr>
      <w:r>
        <w:rPr>
          <w:rFonts w:ascii="Arial" w:cs="Arial" w:eastAsia="Arial" w:hAnsi="Arial"/>
          <w:b w:val="false"/>
          <w:bCs w:val="false"/>
          <w:i w:val="false"/>
          <w:iCs w:val="false"/>
          <w:color w:val="000000"/>
          <w:sz w:val="17"/>
          <w:szCs w:val="17"/>
        </w:rPr>
        <w:t xml:space="preserve">  workstreams = ACTIVATE_ALL(checklist_443_items)</w:t>
      </w:r>
    </w:p>
    <w:p>
      <w:pPr>
        <w:spacing w:after="120"/>
        <w:jc w:val="left"/>
      </w:pPr>
      <w:r>
        <w:rPr>
          <w:rFonts w:ascii="Arial" w:cs="Arial" w:eastAsia="Arial" w:hAnsi="Arial"/>
          <w:b w:val="false"/>
          <w:bCs w:val="false"/>
          <w:i w:val="false"/>
          <w:iCs w:val="false"/>
          <w:color w:val="000000"/>
          <w:sz w:val="17"/>
          <w:szCs w:val="17"/>
        </w:rPr>
        <w:t xml:space="preserve">  scope_matrix = MAP(intake.deal_structure -&gt; workstream_scope_table)</w:t>
      </w:r>
    </w:p>
    <w:p>
      <w:pPr>
        <w:spacing w:after="120"/>
        <w:jc w:val="left"/>
      </w:pPr>
      <w:r>
        <w:rPr>
          <w:rFonts w:ascii="Arial" w:cs="Arial" w:eastAsia="Arial" w:hAnsi="Arial"/>
          <w:b w:val="false"/>
          <w:bCs w:val="false"/>
          <w:i w:val="false"/>
          <w:iCs w:val="false"/>
          <w:color w:val="000000"/>
          <w:sz w:val="10"/>
          <w:szCs w:val="10"/>
        </w:rPr>
        <w:t xml:space="preserve"/>
      </w:r>
    </w:p>
    <w:p>
      <w:pPr>
        <w:spacing w:after="120"/>
        <w:jc w:val="left"/>
      </w:pPr>
      <w:r>
        <w:rPr>
          <w:rFonts w:ascii="Arial" w:cs="Arial" w:eastAsia="Arial" w:hAnsi="Arial"/>
          <w:b w:val="false"/>
          <w:bCs w:val="false"/>
          <w:i w:val="false"/>
          <w:iCs w:val="false"/>
          <w:color w:val="666666"/>
          <w:sz w:val="17"/>
          <w:szCs w:val="17"/>
        </w:rPr>
        <w:t xml:space="preserve">  // STEP 2: Apply integration model multiplier</w:t>
      </w:r>
    </w:p>
    <w:p>
      <w:pPr>
        <w:spacing w:after="120"/>
        <w:jc w:val="left"/>
      </w:pPr>
      <w:r>
        <w:rPr>
          <w:rFonts w:ascii="Arial" w:cs="Arial" w:eastAsia="Arial" w:hAnsi="Arial"/>
          <w:b w:val="false"/>
          <w:bCs w:val="false"/>
          <w:i w:val="false"/>
          <w:iCs w:val="false"/>
          <w:color w:val="000000"/>
          <w:sz w:val="17"/>
          <w:szCs w:val="17"/>
        </w:rPr>
        <w:t xml:space="preserve">  IF intake.integration_model == 'Standalone':</w:t>
      </w:r>
    </w:p>
    <w:p>
      <w:pPr>
        <w:spacing w:after="120"/>
        <w:jc w:val="left"/>
      </w:pPr>
      <w:r>
        <w:rPr>
          <w:rFonts w:ascii="Arial" w:cs="Arial" w:eastAsia="Arial" w:hAnsi="Arial"/>
          <w:b w:val="false"/>
          <w:bCs w:val="false"/>
          <w:i w:val="false"/>
          <w:iCs w:val="false"/>
          <w:color w:val="000000"/>
          <w:sz w:val="17"/>
          <w:szCs w:val="17"/>
        </w:rPr>
        <w:t xml:space="preserve">    DEACTIVATE(Consolidation.items WHERE scope == 'system_migration')</w:t>
      </w:r>
    </w:p>
    <w:p>
      <w:pPr>
        <w:spacing w:after="120"/>
        <w:jc w:val="left"/>
      </w:pPr>
      <w:r>
        <w:rPr>
          <w:rFonts w:ascii="Arial" w:cs="Arial" w:eastAsia="Arial" w:hAnsi="Arial"/>
          <w:b w:val="false"/>
          <w:bCs w:val="false"/>
          <w:i w:val="false"/>
          <w:iCs w:val="false"/>
          <w:color w:val="000000"/>
          <w:sz w:val="17"/>
          <w:szCs w:val="17"/>
        </w:rPr>
        <w:t xml:space="preserve">    REDUCE_SCOPE(Internal_Controls, 'maintain_existing_only')</w:t>
      </w:r>
    </w:p>
    <w:p>
      <w:pPr>
        <w:spacing w:after="120"/>
        <w:jc w:val="left"/>
      </w:pPr>
      <w:r>
        <w:rPr>
          <w:rFonts w:ascii="Arial" w:cs="Arial" w:eastAsia="Arial" w:hAnsi="Arial"/>
          <w:b w:val="false"/>
          <w:bCs w:val="false"/>
          <w:i w:val="false"/>
          <w:iCs w:val="false"/>
          <w:color w:val="000000"/>
          <w:sz w:val="17"/>
          <w:szCs w:val="17"/>
        </w:rPr>
        <w:t xml:space="preserve">  ELIF intake.integration_model == 'Hybrid':</w:t>
      </w:r>
    </w:p>
    <w:p>
      <w:pPr>
        <w:spacing w:after="120"/>
        <w:jc w:val="left"/>
      </w:pPr>
      <w:r>
        <w:rPr>
          <w:rFonts w:ascii="Arial" w:cs="Arial" w:eastAsia="Arial" w:hAnsi="Arial"/>
          <w:b w:val="false"/>
          <w:bCs w:val="false"/>
          <w:i w:val="false"/>
          <w:iCs w:val="false"/>
          <w:color w:val="000000"/>
          <w:sz w:val="17"/>
          <w:szCs w:val="17"/>
        </w:rPr>
        <w:t xml:space="preserve">    PROMPT_USER('Select functions for integration vs. standalone operation')</w:t>
      </w:r>
    </w:p>
    <w:p>
      <w:pPr>
        <w:spacing w:after="120"/>
        <w:jc w:val="left"/>
      </w:pPr>
      <w:r>
        <w:rPr>
          <w:rFonts w:ascii="Arial" w:cs="Arial" w:eastAsia="Arial" w:hAnsi="Arial"/>
          <w:b w:val="false"/>
          <w:bCs w:val="false"/>
          <w:i w:val="false"/>
          <w:iCs w:val="false"/>
          <w:color w:val="000000"/>
          <w:sz w:val="17"/>
          <w:szCs w:val="17"/>
        </w:rPr>
        <w:t xml:space="preserve">    FOR EACH function IN user_selections: SET_SCOPE(function, selected_depth)</w:t>
      </w:r>
    </w:p>
    <w:p>
      <w:pPr>
        <w:spacing w:after="120"/>
        <w:jc w:val="left"/>
      </w:pPr>
      <w:r>
        <w:rPr>
          <w:rFonts w:ascii="Arial" w:cs="Arial" w:eastAsia="Arial" w:hAnsi="Arial"/>
          <w:b w:val="false"/>
          <w:bCs w:val="false"/>
          <w:i w:val="false"/>
          <w:iCs w:val="false"/>
          <w:color w:val="000000"/>
          <w:sz w:val="10"/>
          <w:szCs w:val="10"/>
        </w:rPr>
        <w:t xml:space="preserve"/>
      </w:r>
    </w:p>
    <w:p>
      <w:pPr>
        <w:spacing w:after="120"/>
        <w:jc w:val="left"/>
      </w:pPr>
      <w:r>
        <w:rPr>
          <w:rFonts w:ascii="Arial" w:cs="Arial" w:eastAsia="Arial" w:hAnsi="Arial"/>
          <w:b w:val="false"/>
          <w:bCs w:val="false"/>
          <w:i w:val="false"/>
          <w:iCs w:val="false"/>
          <w:color w:val="666666"/>
          <w:sz w:val="17"/>
          <w:szCs w:val="17"/>
        </w:rPr>
        <w:t xml:space="preserve">  // STEP 3: Apply cross-border overlay</w:t>
      </w:r>
    </w:p>
    <w:p>
      <w:pPr>
        <w:spacing w:after="120"/>
        <w:jc w:val="left"/>
      </w:pPr>
      <w:r>
        <w:rPr>
          <w:rFonts w:ascii="Arial" w:cs="Arial" w:eastAsia="Arial" w:hAnsi="Arial"/>
          <w:b w:val="false"/>
          <w:bCs w:val="false"/>
          <w:i w:val="false"/>
          <w:iCs w:val="false"/>
          <w:color w:val="000000"/>
          <w:sz w:val="17"/>
          <w:szCs w:val="17"/>
        </w:rPr>
        <w:t xml:space="preserve">  IF intake.cross_border == TRUE:</w:t>
      </w:r>
    </w:p>
    <w:p>
      <w:pPr>
        <w:spacing w:after="120"/>
        <w:jc w:val="left"/>
      </w:pPr>
      <w:r>
        <w:rPr>
          <w:rFonts w:ascii="Arial" w:cs="Arial" w:eastAsia="Arial" w:hAnsi="Arial"/>
          <w:b w:val="false"/>
          <w:bCs w:val="false"/>
          <w:i w:val="false"/>
          <w:iCs w:val="false"/>
          <w:color w:val="000000"/>
          <w:sz w:val="17"/>
          <w:szCs w:val="17"/>
        </w:rPr>
        <w:t xml:space="preserve">    FOR EACH jurisdiction IN intake.jurisdictions:</w:t>
      </w:r>
    </w:p>
    <w:p>
      <w:pPr>
        <w:spacing w:after="120"/>
        <w:jc w:val="left"/>
      </w:pPr>
      <w:r>
        <w:rPr>
          <w:rFonts w:ascii="Arial" w:cs="Arial" w:eastAsia="Arial" w:hAnsi="Arial"/>
          <w:b w:val="false"/>
          <w:bCs w:val="false"/>
          <w:i w:val="false"/>
          <w:iCs w:val="false"/>
          <w:color w:val="000000"/>
          <w:sz w:val="17"/>
          <w:szCs w:val="17"/>
        </w:rPr>
        <w:t xml:space="preserve">      ADD_TASKS(regulatory_overlay[jurisdiction])</w:t>
      </w:r>
    </w:p>
    <w:p>
      <w:pPr>
        <w:spacing w:after="120"/>
        <w:jc w:val="left"/>
      </w:pPr>
      <w:r>
        <w:rPr>
          <w:rFonts w:ascii="Arial" w:cs="Arial" w:eastAsia="Arial" w:hAnsi="Arial"/>
          <w:b w:val="false"/>
          <w:bCs w:val="false"/>
          <w:i w:val="false"/>
          <w:iCs w:val="false"/>
          <w:color w:val="000000"/>
          <w:sz w:val="17"/>
          <w:szCs w:val="17"/>
        </w:rPr>
        <w:t xml:space="preserve">      IF jurisdiction IN ['EU','UK']: ADD(TUPE, works_council, GDPR_DPIA)</w:t>
      </w:r>
    </w:p>
    <w:p>
      <w:pPr>
        <w:spacing w:after="120"/>
        <w:jc w:val="left"/>
      </w:pPr>
      <w:r>
        <w:rPr>
          <w:rFonts w:ascii="Arial" w:cs="Arial" w:eastAsia="Arial" w:hAnsi="Arial"/>
          <w:b w:val="false"/>
          <w:bCs w:val="false"/>
          <w:i w:val="false"/>
          <w:iCs w:val="false"/>
          <w:color w:val="000000"/>
          <w:sz w:val="17"/>
          <w:szCs w:val="17"/>
        </w:rPr>
        <w:t xml:space="preserve">      IF jurisdiction == 'US' AND intake.sector IN ['defense','tech','infra']:</w:t>
      </w:r>
    </w:p>
    <w:p>
      <w:pPr>
        <w:spacing w:after="120"/>
        <w:jc w:val="left"/>
      </w:pPr>
      <w:r>
        <w:rPr>
          <w:rFonts w:ascii="Arial" w:cs="Arial" w:eastAsia="Arial" w:hAnsi="Arial"/>
          <w:b w:val="false"/>
          <w:bCs w:val="false"/>
          <w:i w:val="false"/>
          <w:iCs w:val="false"/>
          <w:color w:val="000000"/>
          <w:sz w:val="17"/>
          <w:szCs w:val="17"/>
        </w:rPr>
        <w:t xml:space="preserve">        ADD(CFIUS_mandatory_filing_check, TID_assessment)</w:t>
      </w:r>
    </w:p>
    <w:p>
      <w:pPr>
        <w:spacing w:after="120"/>
        <w:jc w:val="left"/>
      </w:pPr>
      <w:r>
        <w:rPr>
          <w:rFonts w:ascii="Arial" w:cs="Arial" w:eastAsia="Arial" w:hAnsi="Arial"/>
          <w:b w:val="false"/>
          <w:bCs w:val="false"/>
          <w:i w:val="false"/>
          <w:iCs w:val="false"/>
          <w:color w:val="000000"/>
          <w:sz w:val="17"/>
          <w:szCs w:val="17"/>
        </w:rPr>
        <w:t xml:space="preserve">      IF combined_revenue &gt; EUR_750M: ADD(Pillar_Two_ETR_analysis)</w:t>
      </w:r>
    </w:p>
    <w:p>
      <w:pPr>
        <w:spacing w:after="120"/>
        <w:jc w:val="left"/>
      </w:pPr>
      <w:r>
        <w:rPr>
          <w:rFonts w:ascii="Arial" w:cs="Arial" w:eastAsia="Arial" w:hAnsi="Arial"/>
          <w:b w:val="false"/>
          <w:bCs w:val="false"/>
          <w:i w:val="false"/>
          <w:iCs w:val="false"/>
          <w:color w:val="000000"/>
          <w:sz w:val="10"/>
          <w:szCs w:val="10"/>
        </w:rPr>
        <w:t xml:space="preserve"/>
      </w:r>
    </w:p>
    <w:p>
      <w:pPr>
        <w:spacing w:after="120"/>
        <w:jc w:val="left"/>
      </w:pPr>
      <w:r>
        <w:rPr>
          <w:rFonts w:ascii="Arial" w:cs="Arial" w:eastAsia="Arial" w:hAnsi="Arial"/>
          <w:b w:val="false"/>
          <w:bCs w:val="false"/>
          <w:i w:val="false"/>
          <w:iCs w:val="false"/>
          <w:color w:val="666666"/>
          <w:sz w:val="17"/>
          <w:szCs w:val="17"/>
        </w:rPr>
        <w:t xml:space="preserve">  // STEP 4: TSA/shared services fine-tuning</w:t>
      </w:r>
    </w:p>
    <w:p>
      <w:pPr>
        <w:spacing w:after="120"/>
        <w:jc w:val="left"/>
      </w:pPr>
      <w:r>
        <w:rPr>
          <w:rFonts w:ascii="Arial" w:cs="Arial" w:eastAsia="Arial" w:hAnsi="Arial"/>
          <w:b w:val="false"/>
          <w:bCs w:val="false"/>
          <w:i w:val="false"/>
          <w:iCs w:val="false"/>
          <w:color w:val="000000"/>
          <w:sz w:val="17"/>
          <w:szCs w:val="17"/>
        </w:rPr>
        <w:t xml:space="preserve">  IF intake.tsa_required == TRUE:</w:t>
      </w:r>
    </w:p>
    <w:p>
      <w:pPr>
        <w:spacing w:after="120"/>
        <w:jc w:val="left"/>
      </w:pPr>
      <w:r>
        <w:rPr>
          <w:rFonts w:ascii="Arial" w:cs="Arial" w:eastAsia="Arial" w:hAnsi="Arial"/>
          <w:b w:val="false"/>
          <w:bCs w:val="false"/>
          <w:i w:val="false"/>
          <w:iCs w:val="false"/>
          <w:color w:val="000000"/>
          <w:sz w:val="17"/>
          <w:szCs w:val="17"/>
        </w:rPr>
        <w:t xml:space="preserve">    ACTIVATE(TSA_workstream_full)</w:t>
      </w:r>
    </w:p>
    <w:p>
      <w:pPr>
        <w:spacing w:after="120"/>
        <w:jc w:val="left"/>
      </w:pPr>
      <w:r>
        <w:rPr>
          <w:rFonts w:ascii="Arial" w:cs="Arial" w:eastAsia="Arial" w:hAnsi="Arial"/>
          <w:b w:val="false"/>
          <w:bCs w:val="false"/>
          <w:i w:val="false"/>
          <w:iCs w:val="false"/>
          <w:color w:val="000000"/>
          <w:sz w:val="17"/>
          <w:szCs w:val="17"/>
        </w:rPr>
        <w:t xml:space="preserve">    FOR EACH service IN intake.shared_services_transferring:</w:t>
      </w:r>
    </w:p>
    <w:p>
      <w:pPr>
        <w:spacing w:after="120"/>
        <w:jc w:val="left"/>
      </w:pPr>
      <w:r>
        <w:rPr>
          <w:rFonts w:ascii="Arial" w:cs="Arial" w:eastAsia="Arial" w:hAnsi="Arial"/>
          <w:b w:val="false"/>
          <w:bCs w:val="false"/>
          <w:i w:val="false"/>
          <w:iCs w:val="false"/>
          <w:color w:val="000000"/>
          <w:sz w:val="17"/>
          <w:szCs w:val="17"/>
        </w:rPr>
        <w:t xml:space="preserve">      GREY_OUT(TSA.items WHERE service_category == service) // per FR-18</w:t>
      </w:r>
    </w:p>
    <w:p>
      <w:pPr>
        <w:spacing w:after="120"/>
        <w:jc w:val="left"/>
      </w:pPr>
      <w:r>
        <w:rPr>
          <w:rFonts w:ascii="Arial" w:cs="Arial" w:eastAsia="Arial" w:hAnsi="Arial"/>
          <w:b w:val="false"/>
          <w:bCs w:val="false"/>
          <w:i w:val="false"/>
          <w:iCs w:val="false"/>
          <w:color w:val="000000"/>
          <w:sz w:val="17"/>
          <w:szCs w:val="17"/>
        </w:rPr>
        <w:t xml:space="preserve">  ELIF intake.tsa_required == 'TBD':</w:t>
      </w:r>
    </w:p>
    <w:p>
      <w:pPr>
        <w:spacing w:after="120"/>
        <w:jc w:val="left"/>
      </w:pPr>
      <w:r>
        <w:rPr>
          <w:rFonts w:ascii="Arial" w:cs="Arial" w:eastAsia="Arial" w:hAnsi="Arial"/>
          <w:b w:val="false"/>
          <w:bCs w:val="false"/>
          <w:i w:val="false"/>
          <w:iCs w:val="false"/>
          <w:color w:val="000000"/>
          <w:sz w:val="17"/>
          <w:szCs w:val="17"/>
        </w:rPr>
        <w:t xml:space="preserve">    FLAG_RISK('TSA determination pending', severity='High')</w:t>
      </w:r>
    </w:p>
    <w:p>
      <w:pPr>
        <w:spacing w:after="120"/>
        <w:jc w:val="left"/>
      </w:pPr>
      <w:r>
        <w:rPr>
          <w:rFonts w:ascii="Arial" w:cs="Arial" w:eastAsia="Arial" w:hAnsi="Arial"/>
          <w:b w:val="false"/>
          <w:bCs w:val="false"/>
          <w:i w:val="false"/>
          <w:iCs w:val="false"/>
          <w:color w:val="000000"/>
          <w:sz w:val="10"/>
          <w:szCs w:val="10"/>
        </w:rPr>
        <w:t xml:space="preserve"/>
      </w:r>
    </w:p>
    <w:p>
      <w:pPr>
        <w:spacing w:after="120"/>
        <w:jc w:val="left"/>
      </w:pPr>
      <w:r>
        <w:rPr>
          <w:rFonts w:ascii="Arial" w:cs="Arial" w:eastAsia="Arial" w:hAnsi="Arial"/>
          <w:b w:val="false"/>
          <w:bCs w:val="false"/>
          <w:i w:val="false"/>
          <w:iCs w:val="false"/>
          <w:color w:val="666666"/>
          <w:sz w:val="17"/>
          <w:szCs w:val="17"/>
        </w:rPr>
        <w:t xml:space="preserve">  // STEP 5: Assign phases and priorities</w:t>
      </w:r>
    </w:p>
    <w:p>
      <w:pPr>
        <w:spacing w:after="120"/>
        <w:jc w:val="left"/>
      </w:pPr>
      <w:r>
        <w:rPr>
          <w:rFonts w:ascii="Arial" w:cs="Arial" w:eastAsia="Arial" w:hAnsi="Arial"/>
          <w:b w:val="false"/>
          <w:bCs w:val="false"/>
          <w:i w:val="false"/>
          <w:iCs w:val="false"/>
          <w:color w:val="000000"/>
          <w:sz w:val="17"/>
          <w:szCs w:val="17"/>
        </w:rPr>
        <w:t xml:space="preserve">  FOR EACH item IN workstreams.active_items:</w:t>
      </w:r>
    </w:p>
    <w:p>
      <w:pPr>
        <w:spacing w:after="120"/>
        <w:jc w:val="left"/>
      </w:pPr>
      <w:r>
        <w:rPr>
          <w:rFonts w:ascii="Arial" w:cs="Arial" w:eastAsia="Arial" w:hAnsi="Arial"/>
          <w:b w:val="false"/>
          <w:bCs w:val="false"/>
          <w:i w:val="false"/>
          <w:iCs w:val="false"/>
          <w:color w:val="000000"/>
          <w:sz w:val="17"/>
          <w:szCs w:val="17"/>
        </w:rPr>
        <w:t xml:space="preserve">    item.phase = CALCULATE_PHASE(item.default_phase, intake.close_date)</w:t>
      </w:r>
    </w:p>
    <w:p>
      <w:pPr>
        <w:spacing w:after="120"/>
        <w:jc w:val="left"/>
      </w:pPr>
      <w:r>
        <w:rPr>
          <w:rFonts w:ascii="Arial" w:cs="Arial" w:eastAsia="Arial" w:hAnsi="Arial"/>
          <w:b w:val="false"/>
          <w:bCs w:val="false"/>
          <w:i w:val="false"/>
          <w:iCs w:val="false"/>
          <w:color w:val="000000"/>
          <w:sz w:val="17"/>
          <w:szCs w:val="17"/>
        </w:rPr>
        <w:t xml:space="preserve">    item.priority = SCORE(item.importance, item.dependencies, days_to_milestone)</w:t>
      </w:r>
    </w:p>
    <w:p>
      <w:pPr>
        <w:spacing w:after="120"/>
        <w:jc w:val="left"/>
      </w:pPr>
      <w:r>
        <w:rPr>
          <w:rFonts w:ascii="Arial" w:cs="Arial" w:eastAsia="Arial" w:hAnsi="Arial"/>
          <w:b w:val="false"/>
          <w:bCs w:val="false"/>
          <w:i w:val="false"/>
          <w:iCs w:val="false"/>
          <w:color w:val="000000"/>
          <w:sz w:val="17"/>
          <w:szCs w:val="17"/>
        </w:rPr>
        <w:t xml:space="preserve">    item.risk_flags = EVALUATE_RISK(item, intake, risk_taxonomy_section_6)</w:t>
      </w:r>
    </w:p>
    <w:p>
      <w:pPr>
        <w:spacing w:after="120"/>
        <w:jc w:val="left"/>
      </w:pPr>
      <w:r>
        <w:rPr>
          <w:rFonts w:ascii="Arial" w:cs="Arial" w:eastAsia="Arial" w:hAnsi="Arial"/>
          <w:b w:val="false"/>
          <w:bCs w:val="false"/>
          <w:i w:val="false"/>
          <w:iCs w:val="false"/>
          <w:color w:val="000000"/>
          <w:sz w:val="10"/>
          <w:szCs w:val="10"/>
        </w:rPr>
        <w:t xml:space="preserve"/>
      </w:r>
    </w:p>
    <w:p>
      <w:pPr>
        <w:spacing w:after="120"/>
        <w:jc w:val="left"/>
      </w:pPr>
      <w:r>
        <w:rPr>
          <w:rFonts w:ascii="Arial" w:cs="Arial" w:eastAsia="Arial" w:hAnsi="Arial"/>
          <w:b/>
          <w:bCs/>
          <w:i w:val="false"/>
          <w:iCs w:val="false"/>
          <w:color w:val="000000"/>
          <w:sz w:val="17"/>
          <w:szCs w:val="17"/>
        </w:rPr>
        <w:t xml:space="preserve">  RETURN WorkflowState(workstreams, timeline, risks, tsa_config)</w:t>
      </w:r>
    </w:p>
    <w:p>
      <w:r>
        <w:br w:type="page"/>
      </w:r>
    </w:p>
    <w:p>
      <w:pPr>
        <w:pStyle w:val="Heading1"/>
        <w:spacing w:before="200" w:after="120"/>
      </w:pPr>
      <w:r>
        <w:rPr>
          <w:rFonts w:ascii="Arial" w:cs="Arial" w:eastAsia="Arial" w:hAnsi="Arial"/>
        </w:rPr>
        <w:t xml:space="preserve">4. Dynamic Checklist Engine</w:t>
      </w:r>
    </w:p>
    <w:p>
      <w:pPr>
        <w:spacing w:after="120"/>
        <w:jc w:val="left"/>
      </w:pPr>
      <w:r>
        <w:rPr>
          <w:rFonts w:ascii="Arial" w:cs="Arial" w:eastAsia="Arial" w:hAnsi="Arial"/>
          <w:b w:val="false"/>
          <w:bCs w:val="false"/>
          <w:i w:val="false"/>
          <w:iCs w:val="false"/>
          <w:color w:val="000000"/>
          <w:sz w:val="20"/>
          <w:szCs w:val="20"/>
        </w:rPr>
        <w:t xml:space="preserve">The checklist engine transforms the 443-item Finance Readiness Checklist from a static spreadsheet into a living, adaptive program management tool. This section defines the data model, lifecycle states, and adaptation mechanisms.</w:t>
      </w:r>
    </w:p>
    <w:p>
      <w:pPr>
        <w:pStyle w:val="Heading2"/>
        <w:spacing w:before="200" w:after="120"/>
      </w:pPr>
      <w:r>
        <w:rPr>
          <w:rFonts w:ascii="Arial" w:cs="Arial" w:eastAsia="Arial" w:hAnsi="Arial"/>
        </w:rPr>
        <w:t xml:space="preserve">4.1 Checklist Item Data Model (JSON Schema)</w:t>
      </w:r>
    </w:p>
    <w:p>
      <w:pPr>
        <w:spacing w:after="120"/>
        <w:jc w:val="left"/>
      </w:pPr>
      <w:r>
        <w:rPr>
          <w:rFonts w:ascii="Arial" w:cs="Arial" w:eastAsia="Arial" w:hAnsi="Arial"/>
          <w:b/>
          <w:bCs/>
          <w:i w:val="false"/>
          <w:iCs w:val="false"/>
          <w:color w:val="000000"/>
          <w:sz w:val="17"/>
          <w:szCs w:val="17"/>
        </w:rPr>
        <w:t xml:space="preserve">{</w:t>
      </w:r>
    </w:p>
    <w:p>
      <w:pPr>
        <w:spacing w:after="120"/>
        <w:jc w:val="left"/>
      </w:pPr>
      <w:r>
        <w:rPr>
          <w:rFonts w:ascii="Arial" w:cs="Arial" w:eastAsia="Arial" w:hAnsi="Arial"/>
          <w:b w:val="false"/>
          <w:bCs w:val="false"/>
          <w:i w:val="false"/>
          <w:iCs w:val="false"/>
          <w:color w:val="000000"/>
          <w:sz w:val="16"/>
          <w:szCs w:val="16"/>
        </w:rPr>
        <w:t xml:space="preserve">  "item_id": "FRC-0042",                    // Unique identifier from master checklist</w:t>
      </w:r>
    </w:p>
    <w:p>
      <w:pPr>
        <w:spacing w:after="120"/>
        <w:jc w:val="left"/>
      </w:pPr>
      <w:r>
        <w:rPr>
          <w:rFonts w:ascii="Arial" w:cs="Arial" w:eastAsia="Arial" w:hAnsi="Arial"/>
          <w:b w:val="false"/>
          <w:bCs w:val="false"/>
          <w:i w:val="false"/>
          <w:iCs w:val="false"/>
          <w:color w:val="000000"/>
          <w:sz w:val="16"/>
          <w:szCs w:val="16"/>
        </w:rPr>
        <w:t xml:space="preserve">  "workstream": "TSA Assessment",            // L2 taxonomy</w:t>
      </w:r>
    </w:p>
    <w:p>
      <w:pPr>
        <w:spacing w:after="120"/>
        <w:jc w:val="left"/>
      </w:pPr>
      <w:r>
        <w:rPr>
          <w:rFonts w:ascii="Arial" w:cs="Arial" w:eastAsia="Arial" w:hAnsi="Arial"/>
          <w:b w:val="false"/>
          <w:bCs w:val="false"/>
          <w:i w:val="false"/>
          <w:iCs w:val="false"/>
          <w:color w:val="000000"/>
          <w:sz w:val="16"/>
          <w:szCs w:val="16"/>
        </w:rPr>
        <w:t xml:space="preserve">  "section": "Service Level Agreements",     // L3 taxonomy</w:t>
      </w:r>
    </w:p>
    <w:p>
      <w:pPr>
        <w:spacing w:after="120"/>
        <w:jc w:val="left"/>
      </w:pPr>
      <w:r>
        <w:rPr>
          <w:rFonts w:ascii="Arial" w:cs="Arial" w:eastAsia="Arial" w:hAnsi="Arial"/>
          <w:b w:val="false"/>
          <w:bCs w:val="false"/>
          <w:i w:val="false"/>
          <w:iCs w:val="false"/>
          <w:color w:val="000000"/>
          <w:sz w:val="16"/>
          <w:szCs w:val="16"/>
        </w:rPr>
        <w:t xml:space="preserve">  "description": "Define SLA metrics...",    // Task description</w:t>
      </w:r>
    </w:p>
    <w:p>
      <w:pPr>
        <w:spacing w:after="120"/>
        <w:jc w:val="left"/>
      </w:pPr>
      <w:r>
        <w:rPr>
          <w:rFonts w:ascii="Arial" w:cs="Arial" w:eastAsia="Arial" w:hAnsi="Arial"/>
          <w:b w:val="false"/>
          <w:bCs w:val="false"/>
          <w:i w:val="false"/>
          <w:iCs w:val="false"/>
          <w:color w:val="000000"/>
          <w:sz w:val="16"/>
          <w:szCs w:val="16"/>
        </w:rPr>
        <w:t xml:space="preserve">  "phase": "Day_1",                          // Computed from intake + defaults</w:t>
      </w:r>
    </w:p>
    <w:p>
      <w:pPr>
        <w:spacing w:after="120"/>
        <w:jc w:val="left"/>
      </w:pPr>
      <w:r>
        <w:rPr>
          <w:rFonts w:ascii="Arial" w:cs="Arial" w:eastAsia="Arial" w:hAnsi="Arial"/>
          <w:b w:val="false"/>
          <w:bCs w:val="false"/>
          <w:i w:val="false"/>
          <w:iCs w:val="false"/>
          <w:color w:val="000000"/>
          <w:sz w:val="16"/>
          <w:szCs w:val="16"/>
        </w:rPr>
        <w:t xml:space="preserve">  "milestone_date": "2026-04-15",            // Calculated from close date</w:t>
      </w:r>
    </w:p>
    <w:p>
      <w:pPr>
        <w:spacing w:after="120"/>
        <w:jc w:val="left"/>
      </w:pPr>
      <w:r>
        <w:rPr>
          <w:rFonts w:ascii="Arial" w:cs="Arial" w:eastAsia="Arial" w:hAnsi="Arial"/>
          <w:b w:val="false"/>
          <w:bCs w:val="false"/>
          <w:i w:val="false"/>
          <w:iCs w:val="false"/>
          <w:color w:val="000000"/>
          <w:sz w:val="16"/>
          <w:szCs w:val="16"/>
        </w:rPr>
        <w:t xml:space="preserve">  "priority": "High",                        // Scored: Critical &gt; High &gt; Medium &gt; Low</w:t>
      </w:r>
    </w:p>
    <w:p>
      <w:pPr>
        <w:spacing w:after="120"/>
        <w:jc w:val="left"/>
      </w:pPr>
      <w:r>
        <w:rPr>
          <w:rFonts w:ascii="Arial" w:cs="Arial" w:eastAsia="Arial" w:hAnsi="Arial"/>
          <w:b w:val="false"/>
          <w:bCs w:val="false"/>
          <w:i w:val="false"/>
          <w:iCs w:val="false"/>
          <w:color w:val="000000"/>
          <w:sz w:val="16"/>
          <w:szCs w:val="16"/>
        </w:rPr>
        <w:t xml:space="preserve">  "status": "Not Started",                   // Not Started | In Progress | Blocked | Complete | N/A</w:t>
      </w:r>
    </w:p>
    <w:p>
      <w:pPr>
        <w:spacing w:after="120"/>
        <w:jc w:val="left"/>
      </w:pPr>
      <w:r>
        <w:rPr>
          <w:rFonts w:ascii="Arial" w:cs="Arial" w:eastAsia="Arial" w:hAnsi="Arial"/>
          <w:b w:val="false"/>
          <w:bCs w:val="false"/>
          <w:i w:val="false"/>
          <w:iCs w:val="false"/>
          <w:color w:val="000000"/>
          <w:sz w:val="16"/>
          <w:szCs w:val="16"/>
        </w:rPr>
        <w:t xml:space="preserve">  "owner": null,                             // Assignable to team member</w:t>
      </w:r>
    </w:p>
    <w:p>
      <w:pPr>
        <w:spacing w:after="120"/>
        <w:jc w:val="left"/>
      </w:pPr>
      <w:r>
        <w:rPr>
          <w:rFonts w:ascii="Arial" w:cs="Arial" w:eastAsia="Arial" w:hAnsi="Arial"/>
          <w:b w:val="false"/>
          <w:bCs w:val="false"/>
          <w:i w:val="false"/>
          <w:iCs w:val="false"/>
          <w:color w:val="000000"/>
          <w:sz w:val="16"/>
          <w:szCs w:val="16"/>
        </w:rPr>
        <w:t xml:space="preserve">  "dependencies": ["FRC-0038","FRC-0041"],   // Cross-references</w:t>
      </w:r>
    </w:p>
    <w:p>
      <w:pPr>
        <w:spacing w:after="120"/>
        <w:jc w:val="left"/>
      </w:pPr>
      <w:r>
        <w:rPr>
          <w:rFonts w:ascii="Arial" w:cs="Arial" w:eastAsia="Arial" w:hAnsi="Arial"/>
          <w:b w:val="false"/>
          <w:bCs w:val="false"/>
          <w:i w:val="false"/>
          <w:iCs w:val="false"/>
          <w:color w:val="000000"/>
          <w:sz w:val="16"/>
          <w:szCs w:val="16"/>
        </w:rPr>
        <w:t xml:space="preserve">  "tsa_relevant": true,                      // Flag from master checklist</w:t>
      </w:r>
    </w:p>
    <w:p>
      <w:pPr>
        <w:spacing w:after="120"/>
        <w:jc w:val="left"/>
      </w:pPr>
      <w:r>
        <w:rPr>
          <w:rFonts w:ascii="Arial" w:cs="Arial" w:eastAsia="Arial" w:hAnsi="Arial"/>
          <w:b w:val="false"/>
          <w:bCs w:val="false"/>
          <w:i w:val="false"/>
          <w:iCs w:val="false"/>
          <w:color w:val="000000"/>
          <w:sz w:val="16"/>
          <w:szCs w:val="16"/>
        </w:rPr>
        <w:t xml:space="preserve">  "cross_border_flag": true,                 // Activated by jurisdiction overlay</w:t>
      </w:r>
    </w:p>
    <w:p>
      <w:pPr>
        <w:spacing w:after="120"/>
        <w:jc w:val="left"/>
      </w:pPr>
      <w:r>
        <w:rPr>
          <w:rFonts w:ascii="Arial" w:cs="Arial" w:eastAsia="Arial" w:hAnsi="Arial"/>
          <w:b w:val="false"/>
          <w:bCs w:val="false"/>
          <w:i w:val="false"/>
          <w:iCs w:val="false"/>
          <w:color w:val="000000"/>
          <w:sz w:val="16"/>
          <w:szCs w:val="16"/>
        </w:rPr>
        <w:t xml:space="preserve">  "risk_indicators": ["TSA_dependency"],     // From risk taxonomy (Section 6)</w:t>
      </w:r>
    </w:p>
    <w:p>
      <w:pPr>
        <w:spacing w:after="120"/>
        <w:jc w:val="left"/>
      </w:pPr>
      <w:r>
        <w:rPr>
          <w:rFonts w:ascii="Arial" w:cs="Arial" w:eastAsia="Arial" w:hAnsi="Arial"/>
          <w:b w:val="false"/>
          <w:bCs w:val="false"/>
          <w:i w:val="false"/>
          <w:iCs w:val="false"/>
          <w:color w:val="000000"/>
          <w:sz w:val="16"/>
          <w:szCs w:val="16"/>
        </w:rPr>
        <w:t xml:space="preserve">  "ai_guidance_prompt": "Have you...",       // FR-13 embedded expertise</w:t>
      </w:r>
    </w:p>
    <w:p>
      <w:pPr>
        <w:spacing w:after="120"/>
        <w:jc w:val="left"/>
      </w:pPr>
      <w:r>
        <w:rPr>
          <w:rFonts w:ascii="Arial" w:cs="Arial" w:eastAsia="Arial" w:hAnsi="Arial"/>
          <w:b w:val="false"/>
          <w:bCs w:val="false"/>
          <w:i w:val="false"/>
          <w:iCs w:val="false"/>
          <w:color w:val="000000"/>
          <w:sz w:val="16"/>
          <w:szCs w:val="16"/>
        </w:rPr>
        <w:t xml:space="preserve">  "notes": [],                               // User annotations</w:t>
      </w:r>
    </w:p>
    <w:p>
      <w:pPr>
        <w:spacing w:after="120"/>
        <w:jc w:val="left"/>
      </w:pPr>
      <w:r>
        <w:rPr>
          <w:rFonts w:ascii="Arial" w:cs="Arial" w:eastAsia="Arial" w:hAnsi="Arial"/>
          <w:b w:val="false"/>
          <w:bCs w:val="false"/>
          <w:i w:val="false"/>
          <w:iCs w:val="false"/>
          <w:color w:val="000000"/>
          <w:sz w:val="16"/>
          <w:szCs w:val="16"/>
        </w:rPr>
        <w:t xml:space="preserve">  "last_updated": "2026-02-12T10:30:00Z"</w:t>
      </w:r>
    </w:p>
    <w:p>
      <w:pPr>
        <w:spacing w:after="120"/>
        <w:jc w:val="left"/>
      </w:pPr>
      <w:r>
        <w:rPr>
          <w:rFonts w:ascii="Arial" w:cs="Arial" w:eastAsia="Arial" w:hAnsi="Arial"/>
          <w:b/>
          <w:bCs/>
          <w:i w:val="false"/>
          <w:iCs w:val="false"/>
          <w:color w:val="000000"/>
          <w:sz w:val="17"/>
          <w:szCs w:val="17"/>
        </w:rPr>
        <w:t xml:space="preserve">}</w:t>
      </w:r>
    </w:p>
    <w:p>
      <w:pPr>
        <w:spacing w:after="200"/>
      </w:pPr>
    </w:p>
    <w:p>
      <w:pPr>
        <w:pStyle w:val="Heading2"/>
        <w:spacing w:before="200" w:after="120"/>
      </w:pPr>
      <w:r>
        <w:rPr>
          <w:rFonts w:ascii="Arial" w:cs="Arial" w:eastAsia="Arial" w:hAnsi="Arial"/>
        </w:rPr>
        <w:t xml:space="preserve">4.2 Lifecycle State Machine</w:t>
      </w:r>
    </w:p>
    <w:p>
      <w:pPr>
        <w:spacing w:after="120"/>
        <w:jc w:val="left"/>
      </w:pPr>
      <w:r>
        <w:rPr>
          <w:rFonts w:ascii="Arial" w:cs="Arial" w:eastAsia="Arial" w:hAnsi="Arial"/>
          <w:b w:val="false"/>
          <w:bCs w:val="false"/>
          <w:i w:val="false"/>
          <w:iCs w:val="false"/>
          <w:color w:val="000000"/>
          <w:sz w:val="20"/>
          <w:szCs w:val="20"/>
        </w:rPr>
        <w:t xml:space="preserve">Each checklist item follows a defined state machine. State transitions trigger downstream effects including dependency unlocking, risk recalculation, and progress reporting.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3000"/>
        <w:gridCol w:w="3080"/>
      </w:tblGrid>
      <w:tr>
        <w:tc>
          <w:tcPr>
            <w:tcW w:type="dxa" w:w="1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2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Entry Trigger</w:t>
            </w:r>
          </w:p>
        </w:tc>
        <w:tc>
          <w:tcPr>
            <w:tcW w:type="dxa" w:w="3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Actions on Entry</w:t>
            </w:r>
          </w:p>
        </w:tc>
        <w:tc>
          <w:tcPr>
            <w:tcW w:type="dxa" w:w="30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Valid Transitions</w:t>
            </w:r>
          </w:p>
        </w:tc>
        <w:tc>
          <w:tcPr>
            <w:tcW w:type="dxa" w:w="30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Exit Conditions</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Not Started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Default state on checklist generation</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Schedule reminder based on milestone date; check if dependencies are met; calculate days-until-due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 Progress, N/A, Blocked</w:t>
            </w:r>
          </w:p>
        </w:tc>
        <w:tc>
          <w:tcPr>
            <w:tcW w:type="dxa" w:w="3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marks started; or auto-advance when all dependencies complete</w:t>
            </w:r>
          </w:p>
        </w:tc>
      </w:tr>
      <w:tr>
        <w:tc>
          <w:tcPr>
            <w:tcW w:type="dxa" w:w="18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 Progress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marks started or dependency unlocks</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Start tracking elapsed time; surface AI guidance prompt (FR-13); notify assigned owner; update progress dashboard</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Complete, Blocked</w:t>
            </w:r>
          </w:p>
        </w:tc>
        <w:tc>
          <w:tcPr>
            <w:tcW w:type="dxa" w:w="3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marks complete with evidence/notes; or flags as blocked with reason</w:t>
            </w:r>
          </w:p>
        </w:tc>
      </w:tr>
      <w:tr>
        <w:tc>
          <w:tcPr>
            <w:tcW w:type="dxa" w:w="18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Blocked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flags or auto-detect (dependency failed, external wait)</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Escalate to IMO dashboard; identify blocking item(s); suggest alternative paths; flag risk to integration timeline; notify workstream lead</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 Progress, N/A</w:t>
            </w:r>
          </w:p>
        </w:tc>
        <w:tc>
          <w:tcPr>
            <w:tcW w:type="dxa" w:w="3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Blocking condition resolved (dependency complete, external input received)</w:t>
            </w:r>
          </w:p>
        </w:tc>
      </w:tr>
      <w:tr>
        <w:tc>
          <w:tcPr>
            <w:tcW w:type="dxa" w:w="18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Complete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marks complete with optional evidence</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Unlock dependent items; recalculate workstream progress %; update risk scores; archive completion timestamp and evidence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 Progress (reopen)</w:t>
            </w:r>
          </w:p>
        </w:tc>
        <w:tc>
          <w:tcPr>
            <w:tcW w:type="dxa" w:w="3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Reopened if downstream review identifies issue; requires reason code</w:t>
            </w:r>
          </w:p>
        </w:tc>
      </w:tr>
      <w:tr>
        <w:tc>
          <w:tcPr>
            <w:tcW w:type="dxa" w:w="18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N/A</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Intake logic deactivates; or user marks with justification</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Remove from active count; adjust workstream completion denominator; log justification for audit trail</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Not Started (reactivate)</w:t>
            </w:r>
          </w:p>
        </w:tc>
        <w:tc>
          <w:tcPr>
            <w:tcW w:type="dxa" w:w="3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Deal context changes (e.g., TSA becomes required mid-integration)</w:t>
            </w:r>
          </w:p>
        </w:tc>
      </w:tr>
    </w:tbl>
    <w:p>
      <w:pPr>
        <w:spacing w:after="200"/>
      </w:pPr>
    </w:p>
    <w:p>
      <w:pPr>
        <w:pStyle w:val="Heading2"/>
        <w:spacing w:before="200" w:after="120"/>
      </w:pPr>
      <w:r>
        <w:rPr>
          <w:rFonts w:ascii="Arial" w:cs="Arial" w:eastAsia="Arial" w:hAnsi="Arial"/>
        </w:rPr>
        <w:t xml:space="preserve">4.3 Adaptation Triggers</w:t>
      </w:r>
    </w:p>
    <w:p>
      <w:pPr>
        <w:spacing w:after="120"/>
        <w:jc w:val="left"/>
      </w:pPr>
      <w:r>
        <w:rPr>
          <w:rFonts w:ascii="Arial" w:cs="Arial" w:eastAsia="Arial" w:hAnsi="Arial"/>
          <w:b w:val="false"/>
          <w:bCs w:val="false"/>
          <w:i w:val="false"/>
          <w:iCs w:val="false"/>
          <w:color w:val="000000"/>
          <w:sz w:val="20"/>
          <w:szCs w:val="20"/>
        </w:rPr>
        <w:t xml:space="preserve">The dynamic checklist is not static after generation. The following events trigger reconfiguration of the active checklist: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gridCol w:w="4080"/>
      </w:tblGrid>
      <w:tr>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Event</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Detection Method</w:t>
            </w:r>
          </w:p>
        </w:tc>
        <w:tc>
          <w:tcPr>
            <w:tcW w:type="dxa" w:w="40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Checklist Impact</w:t>
            </w:r>
          </w:p>
        </w:tc>
        <w:tc>
          <w:tcPr>
            <w:tcW w:type="dxa" w:w="40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Close date change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updates intake field</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Recalculate all milestone dates; re-score priorities based on new timeline; flag items that become urgent</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Close pushed 60 days: Day 1 items shift; urgency flags clear on some items, intensify on others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TSA determination changes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updates from TBD to Yes/No</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If Yes: activate full TSA workstream (70 items). If No: mark TSA items as N/A, remove from active checklist</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Midway through DD, seller confirms TSA required for IT and Finance</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New jurisdiction identified</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User adds jurisdiction to intake</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Add jurisdiction-specific regulatory overlay tasks; extend tax compliance and DD items; recalculate regulatory timeline</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Discovery that target has dormant UK subsidiary triggers NSI Act assessment</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Workstream owner assigned</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PMO assigns team member</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Route notifications; personalize AI guidance based on owner expertise; activate approval workflows</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Finance lead assigned to Consolidation: gets tailored Day 1 close calendar guidance</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Milestone passed (calendar)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System date exceeds milestone</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Flag overdue items; escalate to dashboard; recalculate risk scores; trigger status update requests to owners</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Day 30 milestone passes with 15 items still Not Started in Operational Accounting</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External data feed update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API integration (Phase 3)</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Regulatory threshold changes; FX rate movements; new CFIUS guidance. Adjust risk flags and task requirements</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HSR threshold adjusts to $126M for 2026; system updates filing requirement logic</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Risk threshold breach</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Automated risk scoring per Section 6 taxonomy</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Surface risk card on dashboard; recommend mitigation tasks; flag for SteerCo review</w:t>
            </w:r>
          </w:p>
        </w:tc>
        <w:tc>
          <w:tcPr>
            <w:tcW w:type="dxa" w:w="40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&gt;5 TSA services with no exit plan at Day 60 triggers TSA dependency risk alert</w:t>
            </w:r>
          </w:p>
        </w:tc>
      </w:tr>
    </w:tbl>
    <w:p>
      <w:r>
        <w:br w:type="page"/>
      </w:r>
    </w:p>
    <w:p>
      <w:pPr>
        <w:pStyle w:val="Heading1"/>
        <w:spacing w:before="200" w:after="120"/>
      </w:pPr>
      <w:r>
        <w:rPr>
          <w:rFonts w:ascii="Arial" w:cs="Arial" w:eastAsia="Arial" w:hAnsi="Arial"/>
        </w:rPr>
        <w:t xml:space="preserve">5. Agentic Workflow Architectures (3 Variants)</w:t>
      </w:r>
    </w:p>
    <w:p>
      <w:pPr>
        <w:spacing w:after="120"/>
        <w:jc w:val="left"/>
      </w:pPr>
      <w:r>
        <w:rPr>
          <w:rFonts w:ascii="Arial" w:cs="Arial" w:eastAsia="Arial" w:hAnsi="Arial"/>
          <w:b w:val="false"/>
          <w:bCs w:val="false"/>
          <w:i w:val="false"/>
          <w:iCs w:val="false"/>
          <w:color w:val="000000"/>
          <w:sz w:val="20"/>
          <w:szCs w:val="20"/>
        </w:rPr>
        <w:t xml:space="preserve">Each variant represents a progressively more sophisticated application of AI to the deal workflow. They are designed to be implemented sequentially, with each phase building on the prior. The phased approach aligns with the PRD implementation timeline and allows the team to validate core functionality before adding autonomous capabilities.</w:t>
      </w:r>
    </w:p>
    <w:p>
      <w:pPr>
        <w:pStyle w:val="Heading2"/>
        <w:spacing w:before="200" w:after="120"/>
      </w:pPr>
      <w:r>
        <w:rPr>
          <w:rFonts w:ascii="Arial" w:cs="Arial" w:eastAsia="Arial" w:hAnsi="Arial"/>
        </w:rPr>
        <w:t xml:space="preserve">5.1 Variant A: Reactive Monitor (Phase 1 - MVP)</w:t>
      </w:r>
    </w:p>
    <w:p>
      <w:pPr>
        <w:spacing w:after="120"/>
      </w:pPr>
      <w:r>
        <w:rPr>
          <w:rFonts w:ascii="Arial" w:cs="Arial" w:eastAsia="Arial" w:hAnsi="Arial"/>
          <w:b/>
          <w:bCs/>
          <w:i w:val="false"/>
          <w:iCs w:val="false"/>
          <w:color w:val="000000"/>
          <w:sz w:val="20"/>
          <w:szCs w:val="20"/>
        </w:rPr>
        <w:t xml:space="preserve">Architecture: </w:t>
      </w:r>
      <w:r>
        <w:rPr>
          <w:rFonts w:ascii="Arial" w:cs="Arial" w:eastAsia="Arial" w:hAnsi="Arial"/>
          <w:b w:val="false"/>
          <w:bCs w:val="false"/>
          <w:i w:val="false"/>
          <w:iCs w:val="false"/>
          <w:color w:val="000000"/>
          <w:sz w:val="20"/>
          <w:szCs w:val="20"/>
        </w:rPr>
        <w:t xml:space="preserve">Single-agent, event-driven. The AI observes checklist state changes and surfaces insights reactively. All actions require human confirmation. This is the minimum viable agentic layer.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5640"/>
        <w:gridCol w:w="5640"/>
      </w:tblGrid>
      <w:tr>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564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564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Implementation (Neon + JSON)</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Intake Processor</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Parses intake form responses and generates initial workflow state. Maps responses through decision tree (Section 3.2). Outputs activated checklist with phases, priorities, and assignments.</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intake payload -&gt; decision_tree_engine() -&gt; INSERT into deal_state table. Neon JSONB columns store full checklist state per deal. Branching for dev/staging environments.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Status Tracker</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Monitors checklist item state changes. Calculates workstream completion percentages. Maintains audit log of all transitions with timestamps and user attribution.</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PostgreSQL triggers on item_status UPDATE -&gt; calculate_progress(). Materialized views for dashboard aggregation. Row-level security per deal team.</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Risk Scanner</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Runs risk taxonomy rules (Section 6) against current deal state on each status change. Flags risks that breach thresholds. Generates risk cards with severity, indicators, and suggested mitigations.</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Scheduled Neon function (every 6 hours) or triggered on status change. risk_rules table stores Section 6 detection logic as JSON predicates. risk_alerts table captures flagged items.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Deadline Monitor</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Compares current date against milestone dates. Generates escalating alerts: 14 days (amber), 7 days (red), overdue (critical). Surfaces items on critical path.</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pg_cron job daily at 8 AM deal-team timezone. Computes days_remaining per item. INSERT INTO notifications WHERE days_remaining &lt; threshold.</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Guidance Engine</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Surfaces context-aware prompts from Section 5.1 when user opens an in-progress item. Provides have-you-thought-about questions based on deal context and item type.</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AI prompt templates stored as JSONB in guidance_library table. Template selection logic: match(item.workstream, item.section, deal.cross_border, deal.sector). Claude API call for contextual expansion.</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Dashboard Renderer</w:t>
            </w:r>
          </w:p>
        </w:tc>
        <w:tc>
          <w:tcPr>
            <w:tcW w:type="dxa" w:w="56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Aggregates deal state into PMO-facing views: overall progress, workstream heat map, risk summary, upcoming milestones, blocked items. Exportable to PDF/PPTX.</w:t>
            </w:r>
          </w:p>
        </w:tc>
        <w:tc>
          <w:tcPr>
            <w:tcW w:type="dxa" w:w="56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React frontend consuming Neon REST API. Materialized views refreshed on state change. Chart.js / Recharts for visualization. Export via docx/pptx skills.</w:t>
            </w:r>
          </w:p>
        </w:tc>
      </w:tr>
    </w:tbl>
    <w:p>
      <w:pPr>
        <w:spacing w:after="120"/>
      </w:pPr>
    </w:p>
    <w:p>
      <w:pPr>
        <w:spacing w:after="120"/>
      </w:pPr>
      <w:r>
        <w:rPr>
          <w:rFonts w:ascii="Arial" w:cs="Arial" w:eastAsia="Arial" w:hAnsi="Arial"/>
          <w:b/>
          <w:bCs/>
          <w:i w:val="false"/>
          <w:iCs w:val="false"/>
          <w:color w:val="000000"/>
          <w:sz w:val="20"/>
          <w:szCs w:val="20"/>
        </w:rPr>
        <w:t xml:space="preserve">Human-in-the-Loop: </w:t>
      </w:r>
      <w:r>
        <w:rPr>
          <w:rFonts w:ascii="Arial" w:cs="Arial" w:eastAsia="Arial" w:hAnsi="Arial"/>
          <w:b w:val="false"/>
          <w:bCs w:val="false"/>
          <w:i w:val="false"/>
          <w:iCs w:val="false"/>
          <w:color w:val="000000"/>
          <w:sz w:val="20"/>
          <w:szCs w:val="20"/>
        </w:rPr>
        <w:t xml:space="preserve">All state changes require explicit user action. AI suggests but never auto-advances items. Risk alerts are informational. The PMO retains full control.</w:t>
      </w:r>
    </w:p>
    <w:p>
      <w:pPr>
        <w:spacing w:after="120"/>
      </w:pPr>
      <w:r>
        <w:rPr>
          <w:rFonts w:ascii="Arial" w:cs="Arial" w:eastAsia="Arial" w:hAnsi="Arial"/>
          <w:b/>
          <w:bCs/>
          <w:i w:val="false"/>
          <w:iCs w:val="false"/>
          <w:color w:val="000000"/>
          <w:sz w:val="20"/>
          <w:szCs w:val="20"/>
        </w:rPr>
        <w:t xml:space="preserve">Additional Inputs Needed for Variant A: </w:t>
      </w:r>
      <w:r>
        <w:rPr>
          <w:rFonts w:ascii="Arial" w:cs="Arial" w:eastAsia="Arial" w:hAnsi="Arial"/>
          <w:b w:val="false"/>
          <w:bCs w:val="false"/>
          <w:i w:val="false"/>
          <w:iCs w:val="false"/>
          <w:color w:val="000000"/>
          <w:sz w:val="20"/>
          <w:szCs w:val="20"/>
        </w:rPr>
        <w:t xml:space="preserve">Team member roster (names, roles, email) for assignment and notifications. Acquirer GAAP framework and fiscal year end for Consolidation timing. Buyer organizational chart for reporting structure mapping.</w:t>
      </w:r>
    </w:p>
    <w:p>
      <w:pPr>
        <w:spacing w:after="200"/>
      </w:pPr>
    </w:p>
    <w:p>
      <w:pPr>
        <w:pStyle w:val="Heading2"/>
        <w:spacing w:before="200" w:after="120"/>
      </w:pPr>
      <w:r>
        <w:rPr>
          <w:rFonts w:ascii="Arial" w:cs="Arial" w:eastAsia="Arial" w:hAnsi="Arial"/>
        </w:rPr>
        <w:t xml:space="preserve">5.2 Variant B: Proactive Advisor (Phase 2)</w:t>
      </w:r>
    </w:p>
    <w:p>
      <w:pPr>
        <w:spacing w:after="120"/>
      </w:pPr>
      <w:r>
        <w:rPr>
          <w:rFonts w:ascii="Arial" w:cs="Arial" w:eastAsia="Arial" w:hAnsi="Arial"/>
          <w:b/>
          <w:bCs/>
          <w:i w:val="false"/>
          <w:iCs w:val="false"/>
          <w:color w:val="000000"/>
          <w:sz w:val="20"/>
          <w:szCs w:val="20"/>
        </w:rPr>
        <w:t xml:space="preserve">Architecture: </w:t>
      </w:r>
      <w:r>
        <w:rPr>
          <w:rFonts w:ascii="Arial" w:cs="Arial" w:eastAsia="Arial" w:hAnsi="Arial"/>
          <w:b w:val="false"/>
          <w:bCs w:val="false"/>
          <w:i w:val="false"/>
          <w:iCs w:val="false"/>
          <w:color w:val="000000"/>
          <w:sz w:val="20"/>
          <w:szCs w:val="20"/>
        </w:rPr>
        <w:t xml:space="preserve">Multi-agent with supervisor. Specialized agents monitor distinct domains (regulatory, financial, operational) and proactively generate recommendations. A supervisor agent coordinates priorities and prevents conflicting advice.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gridCol w:w="3680"/>
      </w:tblGrid>
      <w:tr>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3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 &amp; Responsibilities</w:t>
            </w:r>
          </w:p>
        </w:tc>
        <w:tc>
          <w:tcPr>
            <w:tcW w:type="dxa" w:w="38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Proactive Actions</w:t>
            </w:r>
          </w:p>
        </w:tc>
        <w:tc>
          <w:tcPr>
            <w:tcW w:type="dxa" w:w="36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Additional Inputs Required</w:t>
            </w:r>
          </w:p>
        </w:tc>
      </w:tr>
      <w:tr>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Supervisor Agent</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Orchestrates all domain agents. Resolves priority conflicts. Maintains global deal state. Routes recommendations to appropriate team members.</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Weekly synthesis report: top 5 risks, top 5 upcoming milestones, resource bottlenecks. Auto-generates SteerCo briefing materials.</w:t>
            </w:r>
          </w:p>
        </w:tc>
        <w:tc>
          <w:tcPr>
            <w:tcW w:type="dxa" w:w="368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SteerCo meeting cadence and distribution list. Escalation thresholds by risk category.</w:t>
            </w:r>
          </w:p>
        </w:tc>
      </w:tr>
      <w:tr>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Regulatory Agent</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Monitors CFIUS, antitrust, FSR, and competition authority timelines. Tracks filing deadlines and response windows. Cross-references deal profile against Section 3.1 trigger criteria.</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Proactively flags when deal parameters approach regulatory thresholds. Drafts filing timeline and resource requirements. Alerts on regulatory developments from web search.</w:t>
            </w:r>
          </w:p>
        </w:tc>
        <w:tc>
          <w:tcPr>
            <w:tcW w:type="dxa" w:w="368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Regulatory counsel contact info. Filing status updates from external counsel. Target country-by-country revenue data for threshold analysis.</w:t>
            </w:r>
          </w:p>
        </w:tc>
      </w:tr>
      <w:tr>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Financial Integration Agent</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Monitors Consolidation, Operational Accounting, and FP&amp;A workstreams. Tracks COA mapping progress. Validates Day 1 readiness items.</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Identifies COA mapping gaps based on progress data. Suggests intercompany elimination entries based on entity structure. Flags GAAP conversion items approaching deadline.</w:t>
            </w:r>
          </w:p>
        </w:tc>
        <w:tc>
          <w:tcPr>
            <w:tcW w:type="dxa" w:w="368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Target trial balance or COA extract. Acquirer COA structure. Intercompany transaction listing.</w:t>
            </w:r>
          </w:p>
        </w:tc>
      </w:tr>
      <w:tr>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TSA Lifecycle Agent</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Manages TSA service inventory, SLA tracking, exit milestone monitoring. Prices TSA services against benchmarks. Monitors seller performance.</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Generates TSA exit readiness scorecard monthly. Flags services approaching expiration without exit plan. Recommends pricing model based on service type and duration.</w:t>
            </w:r>
          </w:p>
        </w:tc>
        <w:tc>
          <w:tcPr>
            <w:tcW w:type="dxa" w:w="368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Executed TSA schedule (post-close). Seller SLA reporting data. Buyer standalone capability assessments.</w:t>
            </w:r>
          </w:p>
        </w:tc>
      </w:tr>
      <w:tr>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Risk &amp; Compliance Agent</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Continuously evaluates risk taxonomy (Section 6) against evolving deal state. Maintains risk register with trend analysis. Monitors compliance deadlines.</w:t>
            </w:r>
          </w:p>
        </w:tc>
        <w:tc>
          <w:tcPr>
            <w:tcW w:type="dxa" w:w="3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Auto-generates risk heat map updates. Identifies emerging risks from pattern analysis across workstreams. Drafts risk mitigation plans for SteerCo review.</w:t>
            </w:r>
          </w:p>
        </w:tc>
        <w:tc>
          <w:tcPr>
            <w:tcW w:type="dxa" w:w="3680"/>
            <w:tcBorders>
              <w:top w:val="single" w:color="999999" w:sz="1"/>
              <w:left w:val="single" w:color="999999" w:sz="1"/>
              <w:bottom w:val="single" w:color="999999" w:sz="1"/>
              <w:right w:val="single" w:color="999999" w:sz="1"/>
            </w:tcBorders>
            <w:shd w:fill="FDEBD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Historical deal risk data (for pattern training). Compliance calendar by jurisdiction. Insurance / indemnification terms.</w:t>
            </w:r>
          </w:p>
        </w:tc>
      </w:tr>
    </w:tbl>
    <w:p>
      <w:pPr>
        <w:spacing w:after="120"/>
      </w:pPr>
    </w:p>
    <w:p>
      <w:pPr>
        <w:spacing w:after="120"/>
      </w:pPr>
      <w:r>
        <w:rPr>
          <w:rFonts w:ascii="Arial" w:cs="Arial" w:eastAsia="Arial" w:hAnsi="Arial"/>
          <w:b/>
          <w:bCs/>
          <w:i w:val="false"/>
          <w:iCs w:val="false"/>
          <w:color w:val="000000"/>
          <w:sz w:val="20"/>
          <w:szCs w:val="20"/>
        </w:rPr>
        <w:t xml:space="preserve">Human-in-the-Loop: </w:t>
      </w:r>
      <w:r>
        <w:rPr>
          <w:rFonts w:ascii="Arial" w:cs="Arial" w:eastAsia="Arial" w:hAnsi="Arial"/>
          <w:b w:val="false"/>
          <w:bCs w:val="false"/>
          <w:i w:val="false"/>
          <w:iCs w:val="false"/>
          <w:color w:val="000000"/>
          <w:sz w:val="20"/>
          <w:szCs w:val="20"/>
        </w:rPr>
        <w:t xml:space="preserve">Agents generate recommendations that require PMO approval before execution. Auto-generated reports are drafts until reviewed. Risk alerts can auto-escalate to SteerCo dashboard but cannot trigger external communications.</w:t>
      </w:r>
    </w:p>
    <w:p>
      <w:pPr>
        <w:spacing w:after="120"/>
      </w:pPr>
      <w:r>
        <w:rPr>
          <w:rFonts w:ascii="Arial" w:cs="Arial" w:eastAsia="Arial" w:hAnsi="Arial"/>
          <w:b/>
          <w:bCs/>
          <w:i w:val="false"/>
          <w:iCs w:val="false"/>
          <w:color w:val="000000"/>
          <w:sz w:val="20"/>
          <w:szCs w:val="20"/>
        </w:rPr>
        <w:t xml:space="preserve">Technology Addition: </w:t>
      </w:r>
      <w:r>
        <w:rPr>
          <w:rFonts w:ascii="Arial" w:cs="Arial" w:eastAsia="Arial" w:hAnsi="Arial"/>
          <w:b w:val="false"/>
          <w:bCs w:val="false"/>
          <w:i w:val="false"/>
          <w:iCs w:val="false"/>
          <w:color w:val="000000"/>
          <w:sz w:val="20"/>
          <w:szCs w:val="20"/>
        </w:rPr>
        <w:t xml:space="preserve">LangGraph state machine for agent orchestration. Neon JSONB for persistent agent memory/state. Claude API for reasoning. MCP (Model Context Protocol) for standardized agent-to-tool communication.</w:t>
      </w:r>
    </w:p>
    <w:p>
      <w:pPr>
        <w:spacing w:after="200"/>
      </w:pPr>
    </w:p>
    <w:p>
      <w:pPr>
        <w:pStyle w:val="Heading2"/>
        <w:spacing w:before="200" w:after="120"/>
      </w:pPr>
      <w:r>
        <w:rPr>
          <w:rFonts w:ascii="Arial" w:cs="Arial" w:eastAsia="Arial" w:hAnsi="Arial"/>
        </w:rPr>
        <w:t xml:space="preserve">5.3 Variant C: Autonomous Orchestrator (Phase 3)</w:t>
      </w:r>
    </w:p>
    <w:p>
      <w:pPr>
        <w:spacing w:after="120"/>
      </w:pPr>
      <w:r>
        <w:rPr>
          <w:rFonts w:ascii="Arial" w:cs="Arial" w:eastAsia="Arial" w:hAnsi="Arial"/>
          <w:b/>
          <w:bCs/>
          <w:i w:val="false"/>
          <w:iCs w:val="false"/>
          <w:color w:val="000000"/>
          <w:sz w:val="20"/>
          <w:szCs w:val="20"/>
        </w:rPr>
        <w:t xml:space="preserve">Architecture: </w:t>
      </w:r>
      <w:r>
        <w:rPr>
          <w:rFonts w:ascii="Arial" w:cs="Arial" w:eastAsia="Arial" w:hAnsi="Arial"/>
          <w:b w:val="false"/>
          <w:bCs w:val="false"/>
          <w:i w:val="false"/>
          <w:iCs w:val="false"/>
          <w:color w:val="000000"/>
          <w:sz w:val="20"/>
          <w:szCs w:val="20"/>
        </w:rPr>
        <w:t xml:space="preserve">Full agentic orchestration with delegated authority. The system can execute predefined actions autonomously within guardrails, while escalating novel situations for human review. Requires established trust from Phase 1/2 operation.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gridCol w:w="3680"/>
      </w:tblGrid>
      <w:tr>
        <w:tc>
          <w:tcPr>
            <w:tcW w:type="dxa" w:w="2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37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Autonomous Actions (Within Guardrails)</w:t>
            </w:r>
          </w:p>
        </w:tc>
        <w:tc>
          <w:tcPr>
            <w:tcW w:type="dxa" w:w="37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Escalation Triggers</w:t>
            </w:r>
          </w:p>
        </w:tc>
        <w:tc>
          <w:tcPr>
            <w:tcW w:type="dxa" w:w="36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Guardrails &amp; Constraints</w:t>
            </w:r>
          </w:p>
        </w:tc>
      </w:tr>
      <w:tr>
        <w:tc>
          <w:tcPr>
            <w:tcW w:type="dxa" w:w="2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Auto-Task Generation</w:t>
            </w:r>
          </w:p>
        </w:tc>
        <w:tc>
          <w:tcPr>
            <w:tcW w:type="dxa" w:w="3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When new information surfaces (new jurisdiction, regulatory change, deal amendment), system auto-generates new checklist items with appropriate phasing and assignments.</w:t>
            </w:r>
          </w:p>
        </w:tc>
        <w:tc>
          <w:tcPr>
            <w:tcW w:type="dxa" w:w="3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Novel task types not in the 443-item library. Tasks that create new dependencies on external parties. Tasks with budget implications.</w:t>
            </w:r>
          </w:p>
        </w:tc>
        <w:tc>
          <w:tcPr>
            <w:tcW w:type="dxa" w:w="3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All auto-generated tasks flagged as AI-Generated pending PMO confirmation. Cannot auto-assign to team members. Maximum 10 auto-generated items per trigger event.</w:t>
            </w:r>
          </w:p>
        </w:tc>
      </w:tr>
      <w:tr>
        <w:tc>
          <w:tcPr>
            <w:tcW w:type="dxa" w:w="2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Intelligent Scheduling</w:t>
            </w:r>
          </w:p>
        </w:tc>
        <w:tc>
          <w:tcPr>
            <w:tcW w:type="dxa" w:w="3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Auto-reschedules downstream tasks when dependencies complete early/late. Rebalances workload across team members based on capacity data. Optimizes critical path.</w:t>
            </w:r>
          </w:p>
        </w:tc>
        <w:tc>
          <w:tcPr>
            <w:tcW w:type="dxa" w:w="3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Schedule changes affecting Day 1 critical items. Changes moving &gt;20% of a workstream's items. Resource conflicts between workstreams.</w:t>
            </w:r>
          </w:p>
        </w:tc>
        <w:tc>
          <w:tcPr>
            <w:tcW w:type="dxa" w:w="3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Cannot move Day 1 mandatory items past close date. Cannot reassign items between workstreams. Must preserve minimum review windows (3 business days).</w:t>
            </w:r>
          </w:p>
        </w:tc>
      </w:tr>
      <w:tr>
        <w:tc>
          <w:tcPr>
            <w:tcW w:type="dxa" w:w="2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Document Generation</w:t>
            </w:r>
          </w:p>
        </w:tc>
        <w:tc>
          <w:tcPr>
            <w:tcW w:type="dxa" w:w="3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Auto-drafts TSA schedules, exit plans, risk reports, SteerCo updates, and workstream status summaries based on current deal state.</w:t>
            </w:r>
          </w:p>
        </w:tc>
        <w:tc>
          <w:tcPr>
            <w:tcW w:type="dxa" w:w="3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Documents requiring legal review. External-facing documents. Documents with financial commitments.</w:t>
            </w:r>
          </w:p>
        </w:tc>
        <w:tc>
          <w:tcPr>
            <w:tcW w:type="dxa" w:w="3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All documents marked DRAFT until human approval. Watermarked as AI-Generated. Cannot auto-distribute outside deal team.</w:t>
            </w:r>
          </w:p>
        </w:tc>
      </w:tr>
      <w:tr>
        <w:tc>
          <w:tcPr>
            <w:tcW w:type="dxa" w:w="2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External Data Integration</w:t>
            </w:r>
          </w:p>
        </w:tc>
        <w:tc>
          <w:tcPr>
            <w:tcW w:type="dxa" w:w="3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Ingests regulatory threshold updates, FX rates, Pillar Two country tracker data, CFIUS filing statistics. Auto-adjusts risk flags and compliance requirements.</w:t>
            </w:r>
          </w:p>
        </w:tc>
        <w:tc>
          <w:tcPr>
            <w:tcW w:type="dxa" w:w="3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Data source discrepancies. Threshold changes affecting filing requirements. New regulatory regimes identified.</w:t>
            </w:r>
          </w:p>
        </w:tc>
        <w:tc>
          <w:tcPr>
            <w:tcW w:type="dxa" w:w="3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Data feeds limited to pre-approved sources (Section 8 of Training Model Framework). Cannot trigger external API calls to regulatory bodies. Changes logged with source attribution.</w:t>
            </w:r>
          </w:p>
        </w:tc>
      </w:tr>
      <w:tr>
        <w:tc>
          <w:tcPr>
            <w:tcW w:type="dxa" w:w="2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Predictive Analytics</w:t>
            </w:r>
          </w:p>
        </w:tc>
        <w:tc>
          <w:tcPr>
            <w:tcW w:type="dxa" w:w="3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Models integration timeline scenarios based on current progress rates. Predicts which workstreams will miss milestones. Estimates TSA exit readiness probability.</w:t>
            </w:r>
          </w:p>
        </w:tc>
        <w:tc>
          <w:tcPr>
            <w:tcW w:type="dxa" w:w="3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Predicted miss of Day 1 critical items. Predicted TSA extension needed. Predicted budget overrun &gt;15%.</w:t>
            </w:r>
          </w:p>
        </w:tc>
        <w:tc>
          <w:tcPr>
            <w:tcW w:type="dxa" w:w="3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Predictions presented as probability ranges, not certainties. Must show confidence intervals. Cannot auto-trigger contract amendments based on predictions.</w:t>
            </w:r>
          </w:p>
        </w:tc>
      </w:tr>
    </w:tbl>
    <w:p>
      <w:pPr>
        <w:spacing w:after="120"/>
      </w:pPr>
    </w:p>
    <w:p>
      <w:pPr>
        <w:spacing w:after="120"/>
      </w:pPr>
      <w:r>
        <w:rPr>
          <w:rFonts w:ascii="Arial" w:cs="Arial" w:eastAsia="Arial" w:hAnsi="Arial"/>
          <w:b/>
          <w:bCs/>
          <w:i w:val="false"/>
          <w:iCs w:val="false"/>
          <w:color w:val="000000"/>
          <w:sz w:val="20"/>
          <w:szCs w:val="20"/>
        </w:rPr>
        <w:t xml:space="preserve">Additional Inputs for Phase 3: </w:t>
      </w:r>
      <w:r>
        <w:rPr>
          <w:rFonts w:ascii="Arial" w:cs="Arial" w:eastAsia="Arial" w:hAnsi="Arial"/>
          <w:b w:val="false"/>
          <w:bCs w:val="false"/>
          <w:i w:val="false"/>
          <w:iCs w:val="false"/>
          <w:color w:val="000000"/>
          <w:sz w:val="20"/>
          <w:szCs w:val="20"/>
        </w:rPr>
        <w:t xml:space="preserve">Historical deal data from prior integrations (for predictive models). Team capacity/availability data (for workload balancing). Budget actuals vs. plan (for spend monitoring). Executed legal documents (TSA, SPA) for automated compliance checking.</w:t>
      </w:r>
    </w:p>
    <w:p>
      <w:pPr>
        <w:spacing w:after="120"/>
      </w:pPr>
      <w:r>
        <w:rPr>
          <w:rFonts w:ascii="Arial" w:cs="Arial" w:eastAsia="Arial" w:hAnsi="Arial"/>
          <w:b/>
          <w:bCs/>
          <w:i w:val="false"/>
          <w:iCs w:val="false"/>
          <w:color w:val="000000"/>
          <w:sz w:val="20"/>
          <w:szCs w:val="20"/>
        </w:rPr>
        <w:t xml:space="preserve">Technology Addition: </w:t>
      </w:r>
      <w:r>
        <w:rPr>
          <w:rFonts w:ascii="Arial" w:cs="Arial" w:eastAsia="Arial" w:hAnsi="Arial"/>
          <w:b w:val="false"/>
          <w:bCs w:val="false"/>
          <w:i w:val="false"/>
          <w:iCs w:val="false"/>
          <w:color w:val="000000"/>
          <w:sz w:val="20"/>
          <w:szCs w:val="20"/>
        </w:rPr>
        <w:t xml:space="preserve">Vector embeddings in Neon (pgvector) for semantic search across deal documents. Webhook integrations for external data feeds. LangGraph checkpointing for long-running agent workflows. Audit logging with full provenance chain.</w:t>
      </w:r>
    </w:p>
    <w:p>
      <w:r>
        <w:br w:type="page"/>
      </w:r>
    </w:p>
    <w:p>
      <w:pPr>
        <w:pStyle w:val="Heading1"/>
        <w:spacing w:before="200" w:after="120"/>
      </w:pPr>
      <w:r>
        <w:rPr>
          <w:rFonts w:ascii="Arial" w:cs="Arial" w:eastAsia="Arial" w:hAnsi="Arial"/>
        </w:rPr>
        <w:t xml:space="preserve">6. Technology Architecture (Lightweight Stack)</w:t>
      </w:r>
    </w:p>
    <w:p>
      <w:pPr>
        <w:spacing w:after="120"/>
        <w:jc w:val="left"/>
      </w:pPr>
      <w:r>
        <w:rPr>
          <w:rFonts w:ascii="Arial" w:cs="Arial" w:eastAsia="Arial" w:hAnsi="Arial"/>
          <w:b w:val="false"/>
          <w:bCs w:val="false"/>
          <w:i w:val="false"/>
          <w:iCs w:val="false"/>
          <w:color w:val="000000"/>
          <w:sz w:val="20"/>
          <w:szCs w:val="20"/>
        </w:rPr>
        <w:t xml:space="preserve">The architecture is designed for rapid prototyping via Manus/Claude Code with a path to production. The stack prioritizes simplicity, JSON-native data, and serverless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200"/>
        <w:gridCol w:w="2400"/>
        <w:gridCol w:w="2480"/>
      </w:tblGrid>
      <w:tr>
        <w:tc>
          <w:tcPr>
            <w:tcW w:type="dxa" w:w="20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Layer</w:t>
            </w:r>
          </w:p>
        </w:tc>
        <w:tc>
          <w:tcPr>
            <w:tcW w:type="dxa" w:w="2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Technology</w:t>
            </w:r>
          </w:p>
        </w:tc>
        <w:tc>
          <w:tcPr>
            <w:tcW w:type="dxa" w:w="4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 in Architecture</w:t>
            </w:r>
          </w:p>
        </w:tc>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 Introduced</w:t>
            </w:r>
          </w:p>
        </w:tc>
        <w:tc>
          <w:tcPr>
            <w:tcW w:type="dxa" w:w="24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Alternative</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Database</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Neon (Serverless Postgres)</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JSONB for deal state, checklist items, risk rules, agent memory. Row-level security per deal. Branching for dev/test environments. Scale-to-zero for cost efficiency.</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Supabase, PlanetScale</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State Machine</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JSON State Objects</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Deal workflow state stored as JSONB documents in Neon. State transitions via PostgreSQL functions. Event sourcing pattern for full audit trail.</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Redis for caching layer</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AI Reasoning</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Claude API (Sonnet/Opus)</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Intake processing, risk assessment, guidance generation, document drafting. System prompts encode Training Model Framework knowledge. Structured outputs via JSON mode.</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GPT-4o, Gemini Pro</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Agent Orchestration</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LangGraph (Python)</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Multi-agent coordination in Phase 2+. State graph for agent workflows. Checkpointing for long-running tasks. Conditional routing based on deal context.</w:t>
            </w:r>
          </w:p>
        </w:tc>
        <w:tc>
          <w:tcPr>
            <w:tcW w:type="dxa" w:w="2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2</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CrewAI, AutoGen</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Tool Integration</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MCP (Model Context Protocol)</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Standardized interface for agents to access tools: database queries, document generation, web search, calendar APIs. Interoperable across agent frameworks.</w:t>
            </w:r>
          </w:p>
        </w:tc>
        <w:tc>
          <w:tcPr>
            <w:tcW w:type="dxa" w:w="2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2</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Custom function calling</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Frontend</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React + Tailwind</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PMO dashboard, intake forms, checklist views, risk heat maps. Real-time updates via Neon websockets or polling. Responsive for desktop/tablet.</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Next.js, Remix</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Document Engine</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docx-js / pptx-js</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Auto-generate SteerCo reports, TSA schedules, risk summaries as downloadable Word/PowerPoint files from deal state data.</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PDFKit, LaTeX</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Vector Search</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pgvector (Neon extension)</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Semantic search across deal documents, prior deal patterns, regulatory guidance. Enables RAG (Retrieval Augmented Generation) for contextual AI responses.</w:t>
            </w:r>
          </w:p>
        </w:tc>
        <w:tc>
          <w:tcPr>
            <w:tcW w:type="dxa" w:w="24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3</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Pinecone, Weaviate</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Hosting</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Vercel + Neon Serverless</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Zero-config deployment. Serverless functions for API routes. Neon scale-to-zero for cost efficiency. Edge functions for low-latency dashboard access.</w:t>
            </w:r>
          </w:p>
        </w:tc>
        <w:tc>
          <w:tcPr>
            <w:tcW w:type="dxa" w:w="24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val="false"/>
                <w:bCs w:val="false"/>
                <w:i w:val="false"/>
                <w:iCs w:val="false"/>
                <w:color w:val="000000"/>
                <w:sz w:val="17"/>
                <w:szCs w:val="17"/>
              </w:rPr>
              <w:t xml:space="preserve">Phase 1 (MVP)</w:t>
            </w:r>
          </w:p>
        </w:tc>
        <w:tc>
          <w:tcPr>
            <w:tcW w:type="dxa" w:w="24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AWS Lambda, Railway</w:t>
            </w:r>
          </w:p>
        </w:tc>
      </w:tr>
    </w:tbl>
    <w:p>
      <w:r>
        <w:br w:type="page"/>
      </w:r>
    </w:p>
    <w:p>
      <w:pPr>
        <w:pStyle w:val="Heading1"/>
        <w:spacing w:before="200" w:after="120"/>
      </w:pPr>
      <w:r>
        <w:rPr>
          <w:rFonts w:ascii="Arial" w:cs="Arial" w:eastAsia="Arial" w:hAnsi="Arial"/>
        </w:rPr>
        <w:t xml:space="preserve">7. Consolidated Input Requirements by Phase</w:t>
      </w:r>
    </w:p>
    <w:p>
      <w:pPr>
        <w:spacing w:after="120"/>
        <w:jc w:val="left"/>
      </w:pPr>
      <w:r>
        <w:rPr>
          <w:rFonts w:ascii="Arial" w:cs="Arial" w:eastAsia="Arial" w:hAnsi="Arial"/>
          <w:b w:val="false"/>
          <w:bCs w:val="false"/>
          <w:i w:val="false"/>
          <w:iCs w:val="false"/>
          <w:color w:val="000000"/>
          <w:sz w:val="20"/>
          <w:szCs w:val="20"/>
        </w:rPr>
        <w:t xml:space="preserve">This section consolidates all data inputs needed across the three agentic variants, organized by when they are required in the implementation timeline.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3200"/>
        <w:gridCol w:w="3280"/>
      </w:tblGrid>
      <w:tr>
        <w:tc>
          <w:tcPr>
            <w:tcW w:type="dxa" w:w="16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 Category</w:t>
            </w:r>
          </w:p>
        </w:tc>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32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Format</w:t>
            </w:r>
          </w:p>
        </w:tc>
        <w:tc>
          <w:tcPr>
            <w:tcW w:type="dxa" w:w="328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Dependency / Notes</w:t>
            </w:r>
          </w:p>
        </w:tc>
      </w:tr>
      <w:tr>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12 Intake Fields (Tiers 1-3)</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PMO/Consultant via intake form</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payload; validated against schema</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Required before any workflow generation. Tier 1 fields are hard gates.</w:t>
            </w:r>
          </w:p>
        </w:tc>
      </w:tr>
      <w:tr>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443-Item Finance Readiness Checklist</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Pre-loaded (master template)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JSONB array in Neon; each item per Section 4.1 schema</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Reformatted version from Excel analysis. Includes FRC-0001 through FRC-0443.</w:t>
            </w:r>
          </w:p>
        </w:tc>
      </w:tr>
      <w:tr>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Risk Taxonomy Rules (Section 6)</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Pre-loaded from Training Model Framework</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predicates stored in risk_rules table</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7 risk categories with detection logic, severity, and mitigation strategies.</w:t>
            </w:r>
          </w:p>
        </w:tc>
      </w:tr>
      <w:tr>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Team Member Roster</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PMO input during setup</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{name, role, email, workstreams[]}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Required for task assignment and notification routing.</w:t>
            </w:r>
          </w:p>
        </w:tc>
      </w:tr>
      <w:tr>
        <w:tc>
          <w:tcPr>
            <w:tcW w:type="dxa" w:w="1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Acquirer Profile (GAAP, FYE, Entity Count)</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PMO input</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{gaap, fiscal_year_end, hq_jurisdiction}</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Needed for Consolidation scoping and GAAP alignment assessment.</w:t>
            </w:r>
          </w:p>
        </w:tc>
      </w:tr>
      <w:tr>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2</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Regulatory Filing Status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External counsel (manual entry initially)</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{filing_type, jurisdiction, status, deadline}</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Feeds Regulatory Agent. Initially manual; API integration in Phase 3.</w:t>
            </w:r>
          </w:p>
        </w:tc>
      </w:tr>
      <w:tr>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2</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Target Financial Data (Trial Balance, COA)</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DD data room or seller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CSV/JSON import; mapped to standard schema</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Feeds Financial Integration Agent for COA mapping and GAAP analysis.</w:t>
            </w:r>
          </w:p>
        </w:tc>
      </w:tr>
      <w:tr>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2</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Executed TSA Schedule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Legal team post-close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Structured JSON: {services[], slas[], pricing, exit_dates}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Feeds TSA Lifecycle Agent. Enables SLA tracking and exit monitoring.</w:t>
            </w:r>
          </w:p>
        </w:tc>
      </w:tr>
      <w:tr>
        <w:tc>
          <w:tcPr>
            <w:tcW w:type="dxa" w:w="1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2</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SteerCo Configuration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IMO setup</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JSON: {cadence, distribution_list, escalation_thresholds}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Drives reporting automation and escalation workflows.</w:t>
            </w:r>
          </w:p>
        </w:tc>
      </w:tr>
      <w:tr>
        <w:tc>
          <w:tcPr>
            <w:tcW w:type="dxa" w:w="1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3</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Historical Deal Data</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Buyer's M&amp;A team (prior integrations)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Anonymized JSON: {deal_profile, outcomes, timeline_actuals}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Trains predictive models. Minimum 3-5 prior deals recommended.</w:t>
            </w:r>
          </w:p>
        </w:tc>
      </w:tr>
      <w:tr>
        <w:tc>
          <w:tcPr>
            <w:tcW w:type="dxa" w:w="1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3</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External Data Feeds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API integrations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REST/webhook: FX rates, Pillar Two tracker, HSR thresholds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Pre-approved sources only. See Section 8 of Training Model Framework.</w:t>
            </w:r>
          </w:p>
        </w:tc>
      </w:tr>
      <w:tr>
        <w:tc>
          <w:tcPr>
            <w:tcW w:type="dxa" w:w="1600"/>
            <w:tcBorders>
              <w:top w:val="single" w:color="999999" w:sz="1"/>
              <w:left w:val="single" w:color="999999" w:sz="1"/>
              <w:bottom w:val="single" w:color="999999" w:sz="1"/>
              <w:right w:val="single" w:color="999999" w:sz="1"/>
            </w:tcBorders>
            <w:shd w:fill="E8DAEF" w:val="clear"/>
            <w:tcMar>
              <w:top w:type="dxa" w:w="60"/>
              <w:left w:type="dxa" w:w="100"/>
              <w:bottom w:type="dxa" w:w="60"/>
              <w:right w:type="dxa" w:w="100"/>
            </w:tcMar>
            <w:vAlign w:val="top"/>
          </w:tcPr>
          <w:p>
            <w:pPr>
              <w:spacing w:after="40"/>
              <w:jc w:val="center"/>
            </w:pPr>
            <w:r>
              <w:rPr>
                <w:rFonts w:ascii="Arial" w:cs="Arial" w:eastAsia="Arial" w:hAnsi="Arial"/>
                <w:b/>
                <w:bCs/>
                <w:i w:val="false"/>
                <w:iCs w:val="false"/>
                <w:color w:val="000000"/>
                <w:sz w:val="17"/>
                <w:szCs w:val="17"/>
              </w:rPr>
              <w:t xml:space="preserve">Phase 3</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Deal Documents (SPA, TSA, Side Letters)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Legal team</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PDF/DOCX ingested via vector embeddings</w:t>
            </w:r>
          </w:p>
        </w:tc>
        <w:tc>
          <w:tcPr>
            <w:tcW w:type="dxa" w:w="32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Enables semantic search and automated compliance checking.</w:t>
            </w:r>
          </w:p>
        </w:tc>
      </w:tr>
    </w:tbl>
    <w:p>
      <w:r>
        <w:br w:type="page"/>
      </w:r>
    </w:p>
    <w:p>
      <w:pPr>
        <w:pStyle w:val="Heading1"/>
        <w:spacing w:before="200" w:after="120"/>
      </w:pPr>
      <w:r>
        <w:rPr>
          <w:rFonts w:ascii="Arial" w:cs="Arial" w:eastAsia="Arial" w:hAnsi="Arial"/>
        </w:rPr>
        <w:t xml:space="preserve">8. Variant Comparison Matrix</w:t>
      </w:r>
    </w:p>
    <w:p>
      <w:pPr>
        <w:spacing w:after="120"/>
        <w:jc w:val="left"/>
      </w:pPr>
      <w:r>
        <w:rPr>
          <w:rFonts w:ascii="Arial" w:cs="Arial" w:eastAsia="Arial" w:hAnsi="Arial"/>
          <w:b w:val="false"/>
          <w:bCs w:val="false"/>
          <w:i w:val="false"/>
          <w:iCs w:val="false"/>
          <w:color w:val="000000"/>
          <w:sz w:val="20"/>
          <w:szCs w:val="20"/>
        </w:rPr>
        <w:t xml:space="preserve">Side-by-side comparison of the three agentic workflow variants to guide implementation planning and stakeholder communication.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760"/>
        <w:gridCol w:w="3760"/>
      </w:tblGrid>
      <w:tr>
        <w:tc>
          <w:tcPr>
            <w:tcW w:type="dxa" w:w="240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3760"/>
            <w:tcBorders>
              <w:top w:val="single" w:color="999999" w:sz="1"/>
              <w:left w:val="single" w:color="999999" w:sz="1"/>
              <w:bottom w:val="single" w:color="999999" w:sz="1"/>
              <w:right w:val="single" w:color="999999" w:sz="1"/>
            </w:tcBorders>
            <w:shd w:fill="4472C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A: Reactive Monitor</w:t>
            </w:r>
          </w:p>
        </w:tc>
        <w:tc>
          <w:tcPr>
            <w:tcW w:type="dxa" w:w="37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B: Proactive Advisor</w:t>
            </w:r>
          </w:p>
        </w:tc>
        <w:tc>
          <w:tcPr>
            <w:tcW w:type="dxa" w:w="3760"/>
            <w:tcBorders>
              <w:top w:val="single" w:color="999999" w:sz="1"/>
              <w:left w:val="single" w:color="999999" w:sz="1"/>
              <w:bottom w:val="single" w:color="999999" w:sz="1"/>
              <w:right w:val="single" w:color="999999" w:sz="1"/>
            </w:tcBorders>
            <w:shd w:fill="1B365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Variant C: Autonomous Orchestrator</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AI Role</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Observer and reporter. Surfaces information when asked or when thresholds breach.</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Advisor and analyst. Proactively generates recommendations and synthesizes cross-workstream intelligence.</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Delegated executor. Takes predefined actions autonomously within guardrails; escalates novel situations.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Human Involvement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All actions require explicit user initiation. AI suggests but human decides and acts.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Human reviews and approves AI recommendations. Approves draft documents and reports before distribution.</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Human sets guardrails and reviews exceptions. Day-to-day task management is autonomous.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Agent Architecture</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Single agent (monolithic). Event-driven triggers. No agent-to-agent communication.</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Multi-agent with supervisor. Domain-specific agents coordinate through supervisor. Shared state via Neon.</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Full agent mesh with delegated authority. Agents can invoke other agents. Predictive models inform actions.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Data Requirements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Intake form + master checklist + team roster. Minimal ongoing data beyond status updates.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All Phase 1 inputs + target financial data + TSA schedule + regulatory filing status + SteerCo configuration.</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All Phase 2 inputs + historical deal data + external data feeds + deal documents for semantic search.</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Development Effort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4-6 weeks (MVP). JSON state + Neon + Claude API + React dashboard. Single developer can prototype.</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8-12 weeks. Adds LangGraph orchestration, MCP tool integration, 5 specialized agents, expanded data model.</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16-24 weeks. Adds vector search, predictive models, autonomous execution logic, comprehensive guardrails.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Risk Level</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Low. AI is informational only. No autonomous actions. Easy to audit and override.</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Medium. AI generates recommendations that could influence decisions if accepted without review.</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High. Autonomous actions could have real-world impact. Requires comprehensive logging and override capability.</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Best For</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First-time users of AI in M&amp;A. Deals where PMO wants full control. Proof of concept / pilot.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Experienced deal teams managing complex cross-border transactions. Multiple concurrent workstreams.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Serial acquirers with established playbooks. High-volume integration programs (PE platforms, roll-ups).</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top"/>
          </w:tcPr>
          <w:p>
            <w:pPr>
              <w:spacing w:after="40"/>
              <w:jc w:val="left"/>
            </w:pPr>
            <w:r>
              <w:rPr>
                <w:rFonts w:ascii="Arial" w:cs="Arial" w:eastAsia="Arial" w:hAnsi="Arial"/>
                <w:b/>
                <w:bCs/>
                <w:i w:val="false"/>
                <w:iCs w:val="false"/>
                <w:color w:val="000000"/>
                <w:sz w:val="17"/>
                <w:szCs w:val="17"/>
              </w:rPr>
              <w:t xml:space="preserve">Key Metric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Time-to-first-workflow: &lt;5 minutes from intake. Dashboard accuracy vs. manual tracking.</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Quality of recommendations (accepted vs. rejected rate). Risk prediction accuracy. Report generation time savings.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spacing w:after="40"/>
              <w:jc w:val="left"/>
            </w:pPr>
            <w:r>
              <w:rPr>
                <w:rFonts w:ascii="Arial" w:cs="Arial" w:eastAsia="Arial" w:hAnsi="Arial"/>
                <w:b w:val="false"/>
                <w:bCs w:val="false"/>
                <w:i w:val="false"/>
                <w:iCs w:val="false"/>
                <w:color w:val="000000"/>
                <w:sz w:val="17"/>
                <w:szCs w:val="17"/>
              </w:rPr>
              <w:t xml:space="preserve">Autonomous action success rate. Escalation-to-resolution time. End-to-end integration timeline vs. benchmark.</w:t>
            </w:r>
          </w:p>
        </w:tc>
      </w:tr>
    </w:tbl>
    <w:p>
      <w:r>
        <w:br w:type="page"/>
      </w:r>
    </w:p>
    <w:p>
      <w:pPr>
        <w:pStyle w:val="Heading1"/>
        <w:spacing w:before="200" w:after="120"/>
      </w:pPr>
      <w:r>
        <w:rPr>
          <w:rFonts w:ascii="Arial" w:cs="Arial" w:eastAsia="Arial" w:hAnsi="Arial"/>
        </w:rPr>
        <w:t xml:space="preserve">9. Implementation Roadmap &amp; Next Steps</w:t>
      </w:r>
    </w:p>
    <w:p>
      <w:pPr>
        <w:pStyle w:val="Heading2"/>
        <w:spacing w:before="200" w:after="120"/>
      </w:pPr>
      <w:r>
        <w:rPr>
          <w:rFonts w:ascii="Arial" w:cs="Arial" w:eastAsia="Arial" w:hAnsi="Arial"/>
        </w:rPr>
        <w:t xml:space="preserve">9.1 Immediate Next Steps (Weeks 1-2)</w:t>
      </w:r>
    </w:p>
    <w:p>
      <w:pPr>
        <w:spacing w:after="120"/>
      </w:pPr>
      <w:r>
        <w:rPr>
          <w:rFonts w:ascii="Arial" w:cs="Arial" w:eastAsia="Arial" w:hAnsi="Arial"/>
          <w:b/>
          <w:bCs/>
          <w:i w:val="false"/>
          <w:iCs w:val="false"/>
          <w:color w:val="000000"/>
          <w:sz w:val="20"/>
          <w:szCs w:val="20"/>
        </w:rPr>
        <w:t xml:space="preserve">1. </w:t>
      </w:r>
      <w:r>
        <w:rPr>
          <w:rFonts w:ascii="Arial" w:cs="Arial" w:eastAsia="Arial" w:hAnsi="Arial"/>
          <w:b w:val="false"/>
          <w:bCs w:val="false"/>
          <w:i w:val="false"/>
          <w:iCs w:val="false"/>
          <w:color w:val="000000"/>
          <w:sz w:val="20"/>
          <w:szCs w:val="20"/>
        </w:rPr>
        <w:t xml:space="preserve">Validate Decision Tree Logic: Review Section 3.1 activation matrix with a deal team to confirm workstream activation patterns against 2-3 recent deal scenarios.</w:t>
      </w:r>
    </w:p>
    <w:p>
      <w:pPr>
        <w:spacing w:after="120"/>
      </w:pPr>
      <w:r>
        <w:rPr>
          <w:rFonts w:ascii="Arial" w:cs="Arial" w:eastAsia="Arial" w:hAnsi="Arial"/>
          <w:b/>
          <w:bCs/>
          <w:i w:val="false"/>
          <w:iCs w:val="false"/>
          <w:color w:val="000000"/>
          <w:sz w:val="20"/>
          <w:szCs w:val="20"/>
        </w:rPr>
        <w:t xml:space="preserve">2. </w:t>
      </w:r>
      <w:r>
        <w:rPr>
          <w:rFonts w:ascii="Arial" w:cs="Arial" w:eastAsia="Arial" w:hAnsi="Arial"/>
          <w:b w:val="false"/>
          <w:bCs w:val="false"/>
          <w:i w:val="false"/>
          <w:iCs w:val="false"/>
          <w:color w:val="000000"/>
          <w:sz w:val="20"/>
          <w:szCs w:val="20"/>
        </w:rPr>
        <w:t xml:space="preserve">Build Intake Form Prototype: Implement Tier 1 + Tier 2 fields (9 fields) as a React form connected to Neon. Validate JSON schema and decision tree engine.</w:t>
      </w:r>
    </w:p>
    <w:p>
      <w:pPr>
        <w:spacing w:after="120"/>
      </w:pPr>
      <w:r>
        <w:rPr>
          <w:rFonts w:ascii="Arial" w:cs="Arial" w:eastAsia="Arial" w:hAnsi="Arial"/>
          <w:b/>
          <w:bCs/>
          <w:i w:val="false"/>
          <w:iCs w:val="false"/>
          <w:color w:val="000000"/>
          <w:sz w:val="20"/>
          <w:szCs w:val="20"/>
        </w:rPr>
        <w:t xml:space="preserve">3. </w:t>
      </w:r>
      <w:r>
        <w:rPr>
          <w:rFonts w:ascii="Arial" w:cs="Arial" w:eastAsia="Arial" w:hAnsi="Arial"/>
          <w:b w:val="false"/>
          <w:bCs w:val="false"/>
          <w:i w:val="false"/>
          <w:iCs w:val="false"/>
          <w:color w:val="000000"/>
          <w:sz w:val="20"/>
          <w:szCs w:val="20"/>
        </w:rPr>
        <w:t xml:space="preserve">Load Master Checklist: Import 443-item checklist (FRC-0001 through FRC-0443) into Neon with full Section 4.1 data model. Validate cross-references and dependencies.</w:t>
      </w:r>
    </w:p>
    <w:p>
      <w:pPr>
        <w:spacing w:after="120"/>
      </w:pPr>
      <w:r>
        <w:rPr>
          <w:rFonts w:ascii="Arial" w:cs="Arial" w:eastAsia="Arial" w:hAnsi="Arial"/>
          <w:b/>
          <w:bCs/>
          <w:i w:val="false"/>
          <w:iCs w:val="false"/>
          <w:color w:val="000000"/>
          <w:sz w:val="20"/>
          <w:szCs w:val="20"/>
        </w:rPr>
        <w:t xml:space="preserve">4. </w:t>
      </w:r>
      <w:r>
        <w:rPr>
          <w:rFonts w:ascii="Arial" w:cs="Arial" w:eastAsia="Arial" w:hAnsi="Arial"/>
          <w:b w:val="false"/>
          <w:bCs w:val="false"/>
          <w:i w:val="false"/>
          <w:iCs w:val="false"/>
          <w:color w:val="000000"/>
          <w:sz w:val="20"/>
          <w:szCs w:val="20"/>
        </w:rPr>
        <w:t xml:space="preserve">Prototype Dashboard: Build minimum viable PMO dashboard showing workstream progress, timeline, and risk summary for a single deal.</w:t>
      </w:r>
    </w:p>
    <w:p>
      <w:pPr>
        <w:pStyle w:val="Heading2"/>
        <w:spacing w:before="200" w:after="120"/>
      </w:pPr>
      <w:r>
        <w:rPr>
          <w:rFonts w:ascii="Arial" w:cs="Arial" w:eastAsia="Arial" w:hAnsi="Arial"/>
        </w:rPr>
        <w:t xml:space="preserve">9.2 Phase 1 Completion Criteria (Weeks 3-6)</w:t>
      </w:r>
    </w:p>
    <w:p>
      <w:pPr>
        <w:spacing w:after="120"/>
      </w:pPr>
      <w:r>
        <w:rPr>
          <w:rFonts w:ascii="Arial" w:cs="Arial" w:eastAsia="Arial" w:hAnsi="Arial"/>
          <w:b/>
          <w:bCs/>
          <w:i w:val="false"/>
          <w:iCs w:val="false"/>
          <w:color w:val="000000"/>
          <w:sz w:val="20"/>
          <w:szCs w:val="20"/>
        </w:rPr>
        <w:t xml:space="preserve">a. </w:t>
      </w:r>
      <w:r>
        <w:rPr>
          <w:rFonts w:ascii="Arial" w:cs="Arial" w:eastAsia="Arial" w:hAnsi="Arial"/>
          <w:b w:val="false"/>
          <w:bCs w:val="false"/>
          <w:i w:val="false"/>
          <w:iCs w:val="false"/>
          <w:color w:val="000000"/>
          <w:sz w:val="20"/>
          <w:szCs w:val="20"/>
        </w:rPr>
        <w:t xml:space="preserve">End-to-end flow: Intake form -&gt; decision tree -&gt; dynamic checklist -&gt; status tracking -&gt; dashboard. Validated against a real deal scenario.</w:t>
      </w:r>
    </w:p>
    <w:p>
      <w:pPr>
        <w:spacing w:after="120"/>
      </w:pPr>
      <w:r>
        <w:rPr>
          <w:rFonts w:ascii="Arial" w:cs="Arial" w:eastAsia="Arial" w:hAnsi="Arial"/>
          <w:b/>
          <w:bCs/>
          <w:i w:val="false"/>
          <w:iCs w:val="false"/>
          <w:color w:val="000000"/>
          <w:sz w:val="20"/>
          <w:szCs w:val="20"/>
        </w:rPr>
        <w:t xml:space="preserve">b. </w:t>
      </w:r>
      <w:r>
        <w:rPr>
          <w:rFonts w:ascii="Arial" w:cs="Arial" w:eastAsia="Arial" w:hAnsi="Arial"/>
          <w:b w:val="false"/>
          <w:bCs w:val="false"/>
          <w:i w:val="false"/>
          <w:iCs w:val="false"/>
          <w:color w:val="000000"/>
          <w:sz w:val="20"/>
          <w:szCs w:val="20"/>
        </w:rPr>
        <w:t xml:space="preserve">Risk scanner operational with all 7 risk categories from Section 6 of the Training Model Framework.</w:t>
      </w:r>
    </w:p>
    <w:p>
      <w:pPr>
        <w:spacing w:after="120"/>
      </w:pPr>
      <w:r>
        <w:rPr>
          <w:rFonts w:ascii="Arial" w:cs="Arial" w:eastAsia="Arial" w:hAnsi="Arial"/>
          <w:b/>
          <w:bCs/>
          <w:i w:val="false"/>
          <w:iCs w:val="false"/>
          <w:color w:val="000000"/>
          <w:sz w:val="20"/>
          <w:szCs w:val="20"/>
        </w:rPr>
        <w:t xml:space="preserve">c. </w:t>
      </w:r>
      <w:r>
        <w:rPr>
          <w:rFonts w:ascii="Arial" w:cs="Arial" w:eastAsia="Arial" w:hAnsi="Arial"/>
          <w:b w:val="false"/>
          <w:bCs w:val="false"/>
          <w:i w:val="false"/>
          <w:iCs w:val="false"/>
          <w:color w:val="000000"/>
          <w:sz w:val="20"/>
          <w:szCs w:val="20"/>
        </w:rPr>
        <w:t xml:space="preserve">AI guidance prompts (FR-13) surfacing for at least the top 20 Day 1 critical items per workstream.</w:t>
      </w:r>
    </w:p>
    <w:p>
      <w:pPr>
        <w:spacing w:after="120"/>
      </w:pPr>
      <w:r>
        <w:rPr>
          <w:rFonts w:ascii="Arial" w:cs="Arial" w:eastAsia="Arial" w:hAnsi="Arial"/>
          <w:b/>
          <w:bCs/>
          <w:i w:val="false"/>
          <w:iCs w:val="false"/>
          <w:color w:val="000000"/>
          <w:sz w:val="20"/>
          <w:szCs w:val="20"/>
        </w:rPr>
        <w:t xml:space="preserve">d. </w:t>
      </w:r>
      <w:r>
        <w:rPr>
          <w:rFonts w:ascii="Arial" w:cs="Arial" w:eastAsia="Arial" w:hAnsi="Arial"/>
          <w:b w:val="false"/>
          <w:bCs w:val="false"/>
          <w:i w:val="false"/>
          <w:iCs w:val="false"/>
          <w:color w:val="000000"/>
          <w:sz w:val="20"/>
          <w:szCs w:val="20"/>
        </w:rPr>
        <w:t xml:space="preserve">Export capability: Generate a Word document summarizing deal workflow, active checklist, and risk assessment.</w:t>
      </w:r>
    </w:p>
    <w:p>
      <w:pPr>
        <w:pStyle w:val="Heading2"/>
        <w:spacing w:before="200" w:after="120"/>
      </w:pPr>
      <w:r>
        <w:rPr>
          <w:rFonts w:ascii="Arial" w:cs="Arial" w:eastAsia="Arial" w:hAnsi="Arial"/>
        </w:rPr>
        <w:t xml:space="preserve">9.3 Open Questions for Stakeholder Review</w:t>
      </w:r>
    </w:p>
    <w:p>
      <w:pPr>
        <w:spacing w:after="120"/>
      </w:pPr>
      <w:r>
        <w:rPr>
          <w:rFonts w:ascii="Arial" w:cs="Arial" w:eastAsia="Arial" w:hAnsi="Arial"/>
          <w:b/>
          <w:bCs/>
          <w:i w:val="false"/>
          <w:iCs w:val="false"/>
          <w:color w:val="000000"/>
          <w:sz w:val="20"/>
          <w:szCs w:val="20"/>
        </w:rPr>
        <w:t xml:space="preserve">Q1: </w:t>
      </w:r>
      <w:r>
        <w:rPr>
          <w:rFonts w:ascii="Arial" w:cs="Arial" w:eastAsia="Arial" w:hAnsi="Arial"/>
          <w:b w:val="false"/>
          <w:bCs w:val="false"/>
          <w:i w:val="false"/>
          <w:iCs w:val="false"/>
          <w:color w:val="000000"/>
          <w:sz w:val="20"/>
          <w:szCs w:val="20"/>
        </w:rPr>
        <w:t xml:space="preserve">Should the system support multiple concurrent deals from Day 1, or is single-deal sufficient for MVP?</w:t>
      </w:r>
    </w:p>
    <w:p>
      <w:pPr>
        <w:spacing w:after="120"/>
      </w:pPr>
      <w:r>
        <w:rPr>
          <w:rFonts w:ascii="Arial" w:cs="Arial" w:eastAsia="Arial" w:hAnsi="Arial"/>
          <w:b/>
          <w:bCs/>
          <w:i w:val="false"/>
          <w:iCs w:val="false"/>
          <w:color w:val="000000"/>
          <w:sz w:val="20"/>
          <w:szCs w:val="20"/>
        </w:rPr>
        <w:t xml:space="preserve">Q2: </w:t>
      </w:r>
      <w:r>
        <w:rPr>
          <w:rFonts w:ascii="Arial" w:cs="Arial" w:eastAsia="Arial" w:hAnsi="Arial"/>
          <w:b w:val="false"/>
          <w:bCs w:val="false"/>
          <w:i w:val="false"/>
          <w:iCs w:val="false"/>
          <w:color w:val="000000"/>
          <w:sz w:val="20"/>
          <w:szCs w:val="20"/>
        </w:rPr>
        <w:t xml:space="preserve">What is the minimum acceptable latency for checklist generation from intake? Target: &lt;30 seconds.</w:t>
      </w:r>
    </w:p>
    <w:p>
      <w:pPr>
        <w:spacing w:after="120"/>
      </w:pPr>
      <w:r>
        <w:rPr>
          <w:rFonts w:ascii="Arial" w:cs="Arial" w:eastAsia="Arial" w:hAnsi="Arial"/>
          <w:b/>
          <w:bCs/>
          <w:i w:val="false"/>
          <w:iCs w:val="false"/>
          <w:color w:val="000000"/>
          <w:sz w:val="20"/>
          <w:szCs w:val="20"/>
        </w:rPr>
        <w:t xml:space="preserve">Q3: </w:t>
      </w:r>
      <w:r>
        <w:rPr>
          <w:rFonts w:ascii="Arial" w:cs="Arial" w:eastAsia="Arial" w:hAnsi="Arial"/>
          <w:b w:val="false"/>
          <w:bCs w:val="false"/>
          <w:i w:val="false"/>
          <w:iCs w:val="false"/>
          <w:color w:val="000000"/>
          <w:sz w:val="20"/>
          <w:szCs w:val="20"/>
        </w:rPr>
        <w:t xml:space="preserve">Should Variant B agents have access to web search for real-time regulatory intelligence, or should all external data be pre-ingested?</w:t>
      </w:r>
    </w:p>
    <w:p>
      <w:pPr>
        <w:spacing w:after="120"/>
      </w:pPr>
      <w:r>
        <w:rPr>
          <w:rFonts w:ascii="Arial" w:cs="Arial" w:eastAsia="Arial" w:hAnsi="Arial"/>
          <w:b/>
          <w:bCs/>
          <w:i w:val="false"/>
          <w:iCs w:val="false"/>
          <w:color w:val="000000"/>
          <w:sz w:val="20"/>
          <w:szCs w:val="20"/>
        </w:rPr>
        <w:t xml:space="preserve">Q4: </w:t>
      </w:r>
      <w:r>
        <w:rPr>
          <w:rFonts w:ascii="Arial" w:cs="Arial" w:eastAsia="Arial" w:hAnsi="Arial"/>
          <w:b w:val="false"/>
          <w:bCs w:val="false"/>
          <w:i w:val="false"/>
          <w:iCs w:val="false"/>
          <w:color w:val="000000"/>
          <w:sz w:val="20"/>
          <w:szCs w:val="20"/>
        </w:rPr>
        <w:t xml:space="preserve">What approval workflow is needed for AI-generated risk alerts before they appear on the SteerCo dashboard?</w:t>
      </w:r>
    </w:p>
    <w:p>
      <w:pPr>
        <w:spacing w:after="120"/>
      </w:pPr>
      <w:r>
        <w:rPr>
          <w:rFonts w:ascii="Arial" w:cs="Arial" w:eastAsia="Arial" w:hAnsi="Arial"/>
          <w:b/>
          <w:bCs/>
          <w:i w:val="false"/>
          <w:iCs w:val="false"/>
          <w:color w:val="000000"/>
          <w:sz w:val="20"/>
          <w:szCs w:val="20"/>
        </w:rPr>
        <w:t xml:space="preserve">Q5: </w:t>
      </w:r>
      <w:r>
        <w:rPr>
          <w:rFonts w:ascii="Arial" w:cs="Arial" w:eastAsia="Arial" w:hAnsi="Arial"/>
          <w:b w:val="false"/>
          <w:bCs w:val="false"/>
          <w:i w:val="false"/>
          <w:iCs w:val="false"/>
          <w:color w:val="000000"/>
          <w:sz w:val="20"/>
          <w:szCs w:val="20"/>
        </w:rPr>
        <w:t xml:space="preserve">Is there an existing deal document repository (SharePoint, data room) that should be integrated for Phase 3 vector search?</w:t>
      </w:r>
    </w:p>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M&amp;A Deal Workflow Decision Tree  |  v1.0 Beta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2026-02-12T17:35:42.177Z</dcterms:created>
  <dcterms:modified xsi:type="dcterms:W3CDTF">2026-02-12T17:35:42.178Z</dcterms:modified>
</cp:coreProperties>
</file>

<file path=docProps/custom.xml><?xml version="1.0" encoding="utf-8"?>
<Properties xmlns="http://schemas.openxmlformats.org/officeDocument/2006/custom-properties" xmlns:vt="http://schemas.openxmlformats.org/officeDocument/2006/docPropsVTypes"/>
</file>