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F5496"/>
          <w:sz w:val="48"/>
          <w:szCs w:val="48"/>
        </w:rPr>
        <w:t xml:space="preserve">M&amp;A / Finance Transformation</w:t>
      </w:r>
    </w:p>
    <w:p>
      <w:pPr>
        <w:jc w:val="center"/>
      </w:pPr>
      <w:r>
        <w:rPr>
          <w:rFonts w:ascii="Arial" w:cs="Arial" w:eastAsia="Arial" w:hAnsi="Arial"/>
          <w:b/>
          <w:bCs/>
          <w:color w:val="2F5496"/>
          <w:sz w:val="40"/>
          <w:szCs w:val="40"/>
        </w:rPr>
        <w:t xml:space="preserve">AI Training Model Framework</w:t>
      </w:r>
    </w:p>
    <w:p>
      <w:pPr>
        <w:spacing w:before="400"/>
        <w:jc w:val="center"/>
      </w:pPr>
      <w:r>
        <w:rPr>
          <w:rFonts w:ascii="Arial" w:cs="Arial" w:eastAsia="Arial" w:hAnsi="Arial"/>
          <w:color w:val="666666"/>
          <w:sz w:val="24"/>
          <w:szCs w:val="24"/>
        </w:rPr>
        <w:t xml:space="preserve">Deal Structure, Legal Entity, Cross-Border &amp; Regulatory Knowledge Base</w:t>
      </w:r>
    </w:p>
    <w:p>
      <w:pPr>
        <w:spacing w:before="600"/>
        <w:jc w:val="center"/>
      </w:pPr>
      <w:r>
        <w:rPr>
          <w:rFonts w:ascii="Arial" w:cs="Arial" w:eastAsia="Arial" w:hAnsi="Arial"/>
          <w:color w:val="999999"/>
          <w:sz w:val="22"/>
          <w:szCs w:val="22"/>
        </w:rPr>
        <w:t xml:space="preserve">February 2026 | DRAFT</w:t>
      </w:r>
    </w:p>
    <w:p>
      <w:r>
        <w:br w:type="page"/>
      </w:r>
    </w:p>
    <w:p>
      <w:pPr>
        <w:pStyle w:val="Heading1"/>
        <w:spacing w:before="360" w:after="200"/>
      </w:pPr>
      <w:r>
        <w:rPr>
          <w:rFonts w:ascii="Arial" w:cs="Arial" w:eastAsia="Arial" w:hAnsi="Arial"/>
          <w:b/>
          <w:bCs/>
          <w:sz w:val="32"/>
          <w:szCs w:val="32"/>
        </w:rPr>
        <w:t xml:space="preserve">1. Deal Structure Taxonomy</w:t>
      </w:r>
    </w:p>
    <w:p>
      <w:pPr>
        <w:spacing w:after="120"/>
      </w:pPr>
      <w:r>
        <w:rPr>
          <w:rFonts w:ascii="Arial" w:cs="Arial" w:eastAsia="Arial" w:hAnsi="Arial"/>
          <w:sz w:val="20"/>
          <w:szCs w:val="20"/>
        </w:rPr>
        <w:t xml:space="preserve">The training model must encode the fundamental deal structures and their cascading implications across tax, liability, regulatory, and integration dimensions. Each structure triggers different downstream workstreams and task configurations within the PRD taxonomy.</w:t>
      </w:r>
    </w:p>
    <w:p>
      <w:pPr>
        <w:pStyle w:val="Heading2"/>
        <w:spacing w:before="280" w:after="160"/>
      </w:pPr>
      <w:r>
        <w:rPr>
          <w:rFonts w:ascii="Arial" w:cs="Arial" w:eastAsia="Arial" w:hAnsi="Arial"/>
          <w:b/>
          <w:bCs/>
          <w:sz w:val="28"/>
          <w:szCs w:val="28"/>
        </w:rPr>
        <w:t xml:space="preserve">1.1 Primary Deal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800"/>
        <w:gridCol w:w="1960"/>
      </w:tblGrid>
      <w:t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 Treatment</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Liability Transfer</w:t>
            </w:r>
          </w:p>
        </w:tc>
        <w:tc>
          <w:tcPr>
            <w:tcW w:type="dxa" w:w="19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Stock/Share Purchase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Buyer acquires target equity from shareholders; entity continues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Seller: capital gains. Buyer: carryover basis (no step-up unless 338(h)(10) 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liabilities transfer by operation of law; buyer inherits known and unknown liabilities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Simpler deals; preserving contracts, licenses, permits; seller-preferred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Asset Purchase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Buyer selects specific assets and assumes specified liabilities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Buyer: stepped-up basis in assets; higher future depreciation. Seller: ordinary income on some assets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Only assumed liabilities transfer; buyer avoids unspecified liabilities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Buyer-preferred; cherry-picking assets; avoiding legacy liabilities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Statutory Merger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merges directly into acquirer; target ceases to exist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Tax-free reorganization possible under IRC §368; otherwise taxable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Surviving entity assumes all liabilities by operation of law</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integration; single-entity outcome; public company deals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Forward Triangular Merger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Target merges into acquirer subsidiary; sub survives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Can qualify as tax-free under IRC §368(a)(2)(D); up to 50% cash boot allowed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Acquirer shielded; liability contained in subsidiary</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Liability protection for parent; mixed cash/stock consideration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Reverse Triangular Merger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Acquirer sub merges into target; target survives as wholly-owned sub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Stock acquisition for tax purposes; carryover basis. 338(h)(10) election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survives with all contracts intact; anti-assignment clause protection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Preserving target contracts, licenses; most popular M&amp;A structure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F-Reorganization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S-Corp restructures into Holdco + LLC before sale; treated as asset sale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Seller recognizes gain only on deemed-sold assets; buyer gets step-up; rollover equity preserved tax-free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Flexible — structured as unit sale of LLC</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S-Corps; rollover transactions; avoiding 338 election risks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Carve-Out / Divestiture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Seller divests a business unit; buyer acquires integrated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Depends on whether structured as asset or equity sale; seller may have stranded cost implications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Separation agreement governs liability allocation; indemnification provisions critical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 exits; portfolio optimization; requires TSA</w:t>
            </w:r>
          </w:p>
        </w:tc>
      </w:tr>
    </w:tbl>
    <w:p>
      <w:pPr>
        <w:pStyle w:val="Heading2"/>
        <w:spacing w:before="280" w:after="160"/>
      </w:pPr>
      <w:r>
        <w:rPr>
          <w:rFonts w:ascii="Arial" w:cs="Arial" w:eastAsia="Arial" w:hAnsi="Arial"/>
          <w:b/>
          <w:bCs/>
          <w:sz w:val="28"/>
          <w:szCs w:val="28"/>
        </w:rPr>
        <w:t xml:space="preserve">1.2 Deal Structure Decision Logic</w:t>
      </w:r>
    </w:p>
    <w:p>
      <w:pPr>
        <w:spacing w:after="120"/>
      </w:pPr>
      <w:r>
        <w:rPr>
          <w:rFonts w:ascii="Arial" w:cs="Arial" w:eastAsia="Arial" w:hAnsi="Arial"/>
          <w:sz w:val="20"/>
          <w:szCs w:val="20"/>
        </w:rPr>
        <w:t xml:space="preserve">The AI model should encode the following decision tree to recommend or flag deal structure implications based on intake form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Intake Factor</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Answer Is...</w:t>
            </w:r>
          </w:p>
        </w:tc>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 Implication</w:t>
            </w:r>
          </w:p>
        </w:tc>
        <w:tc>
          <w:tcPr>
            <w:tcW w:type="dxa" w:w="24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PRD Workstream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Share purchase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liability transfer assumed; internal controls and SOX assessment critical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Internal Controls, full Tax workstream, Treasury bank account review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Deal type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Asset sale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Selected liability only; contract assignment review needed</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Enable: Contract review (Operational Accounting), reduce Internal Controls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Carve-out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 required; separation complexity high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Full TSA workstream, Stranded Costs, Integration Budget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Integration model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Standalone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Target operates independently; minimal systems integration</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Reduce: Consolidation scope. Enable: TSA for shared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Fully integrated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harmonization required across all functions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All workstreams at full scope; COA mapping, system migration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Integration model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Hybrid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Selective integration by function</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Enable: Function-specific scoping; partial Consolidation, selective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Shared services transfer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AR/AP/Payroll transfer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Operational continuity maintained; reduced TSA need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Grey out related TSA line items per FR-18</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Shared services transfer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 — retained by seller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TSA coverage required; exit planning critical</w:t>
            </w:r>
          </w:p>
        </w:tc>
        <w:tc>
          <w:tcPr>
            <w:tcW w:type="dxa" w:w="2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Enable: TSA Assessment, Governance, Exit Planning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Cross-border elements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Multi-jurisdiction regulatory, tax, FX, labor considerations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IFRS/GAAP Alignment, FX hedging, Transfer Pricing, Indirect Tax, CFIUS/antitrust review</w:t>
            </w:r>
          </w:p>
        </w:tc>
      </w:tr>
    </w:tbl>
    <w:p>
      <w:r>
        <w:br w:type="page"/>
      </w:r>
    </w:p>
    <w:p>
      <w:pPr>
        <w:pStyle w:val="Heading1"/>
        <w:spacing w:before="360" w:after="200"/>
      </w:pPr>
      <w:r>
        <w:rPr>
          <w:rFonts w:ascii="Arial" w:cs="Arial" w:eastAsia="Arial" w:hAnsi="Arial"/>
          <w:b/>
          <w:bCs/>
          <w:sz w:val="32"/>
          <w:szCs w:val="32"/>
        </w:rPr>
        <w:t xml:space="preserve">2. Legal Entity &amp; Organizational Structure</w:t>
      </w:r>
    </w:p>
    <w:p>
      <w:pPr>
        <w:spacing w:after="120"/>
      </w:pPr>
      <w:r>
        <w:rPr>
          <w:rFonts w:ascii="Arial" w:cs="Arial" w:eastAsia="Arial" w:hAnsi="Arial"/>
          <w:sz w:val="20"/>
          <w:szCs w:val="20"/>
        </w:rPr>
        <w:t xml:space="preserve">Cross-border M&amp;A transactions require careful legal entity structuring to optimize tax efficiency, regulatory compliance, and operational flexibility. The training model must encode entity type characteristics, jurisdictional considerations, and post-acquisition restructuring patterns.</w:t>
      </w:r>
    </w:p>
    <w:p>
      <w:pPr>
        <w:pStyle w:val="Heading2"/>
        <w:spacing w:before="280" w:after="160"/>
      </w:pPr>
      <w:r>
        <w:rPr>
          <w:rFonts w:ascii="Arial" w:cs="Arial" w:eastAsia="Arial" w:hAnsi="Arial"/>
          <w:b/>
          <w:bCs/>
          <w:sz w:val="28"/>
          <w:szCs w:val="28"/>
        </w:rPr>
        <w:t xml:space="preserve">2.1 Entity Types &amp;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 Type</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Tax Treatment</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Liability Protection</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w:t>
            </w:r>
          </w:p>
        </w:tc>
        <w:tc>
          <w:tcPr>
            <w:tcW w:type="dxa" w:w="2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Relevance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C-Corporation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Double taxation (entity + shareholder level); subject to CAMT if large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limited liability; corporate veil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Board of directors; formal governance requirements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for public companies; subject to Pillar Two if &gt;EUR 750M revenue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S-Corporation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Pass-through (single level); limited to 100 US shareholders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Full limited liability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Board of directors; restrictions on shareholder types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US-only; F-Reorg or 338(h)(10) election common in M&amp;A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LLC (Multi-Member)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partnership (pass-through); can elect C-Corp treatment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limited liability; flexible allocation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Operating agreement; member-managed or manager-managed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Advantageous for non-US buyers; no entity-level tax in pass-through mode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Limited Partnership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Pass-through; GP unlimited liability, LPs limited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LP liability limited to investment; GP has unlimited liability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GP controls; LP passive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 fund structures; cross-border joint ventures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Holding Company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Depends on jurisdiction and elections; participation exemptions may apply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Parent shielded from subsidiary liabilities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Board governance; intercompany agreements govern relationships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Tax-efficient repatriation; treaty access; Pillar Two parent entity considerations</w:t>
            </w:r>
          </w:p>
        </w:tc>
      </w:tr>
    </w:tbl>
    <w:p>
      <w:pPr>
        <w:pStyle w:val="Heading2"/>
        <w:spacing w:before="280" w:after="160"/>
      </w:pPr>
      <w:r>
        <w:rPr>
          <w:rFonts w:ascii="Arial" w:cs="Arial" w:eastAsia="Arial" w:hAnsi="Arial"/>
          <w:b/>
          <w:bCs/>
          <w:sz w:val="28"/>
          <w:szCs w:val="28"/>
        </w:rPr>
        <w:t xml:space="preserve">2.2 Jurisdictional Selection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Factor</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Considerations</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Impact</w:t>
            </w:r>
          </w:p>
        </w:tc>
        <w:tc>
          <w:tcPr>
            <w:tcW w:type="dxa" w:w="2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Model 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Regime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 rate, capital gains treatment, withholding taxes on dividends/interest/royalties, treaty network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 Two 15% minimum rate affects jurisdictions previously offering sub-15% rates; GILTI implications for US parents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target jurisdiction ETR &lt; 15%; trigger Pillar Two top-up tax analysis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Transfer Pricing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Arm’s length standard; documentation requirements; APA availability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OECD Transfer Pricing Guidelines; country-by-country reporting; intercompany pricing of TSA services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Enable Transfer Pricing &amp; Intercompany section when cross-border; flag shared services pricing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Holding Jurisdiction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Participation exemption availability; CFC rule exposure; withholding tax optimization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 Parent-Subsidiary Directive; Swiss-EU liberalization (May 2025); UK-EU cooperation agreements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 holding structure analysis when multi-jurisdiction entities involved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Regulatory Licensing</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Sector-specific licenses, permits, certifications that may not survive entity restructuring</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Reverse triangular merger preserves target entity and licenses; asset sale may require reapplication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Flag license-dependent industries (healthcare, financial services, defense, telecom)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Privacy Regime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GDPR, state privacy laws, cross-border data transfer restrictions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EU-US Data Privacy Framework; AI Act compliance for tech-heavy targets; data localization requirements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Cybersecurity &amp; Data Privacy workstream for all cross-border; flag AI Act exposure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Labor &amp; Employment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Transfer of employment protections (TUPE in UK/EU); consultation requirements; works councils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requires employee consultation pre-merger; some jurisdictions have mandatory retention periods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Flag EU-jurisdiction targets for TUPE/consultation requirements; adjust HR workstream</w:t>
            </w:r>
          </w:p>
        </w:tc>
      </w:tr>
    </w:tbl>
    <w:p>
      <w:r>
        <w:br w:type="page"/>
      </w:r>
    </w:p>
    <w:p>
      <w:pPr>
        <w:pStyle w:val="Heading1"/>
        <w:spacing w:before="360" w:after="200"/>
      </w:pPr>
      <w:r>
        <w:rPr>
          <w:rFonts w:ascii="Arial" w:cs="Arial" w:eastAsia="Arial" w:hAnsi="Arial"/>
          <w:b/>
          <w:bCs/>
          <w:sz w:val="32"/>
          <w:szCs w:val="32"/>
        </w:rPr>
        <w:t xml:space="preserve">3. Cross-Border Regulatory Framework</w:t>
      </w:r>
    </w:p>
    <w:p>
      <w:pPr>
        <w:spacing w:after="120"/>
      </w:pPr>
      <w:r>
        <w:rPr>
          <w:rFonts w:ascii="Arial" w:cs="Arial" w:eastAsia="Arial" w:hAnsi="Arial"/>
          <w:sz w:val="20"/>
          <w:szCs w:val="20"/>
        </w:rPr>
        <w:t xml:space="preserve">The training model must encode the major regulatory review regimes that can gate or delay cross-border transactions, along with their trigger thresholds, timelines, and risk factors.</w:t>
      </w:r>
    </w:p>
    <w:p>
      <w:pPr>
        <w:pStyle w:val="Heading2"/>
        <w:spacing w:before="280" w:after="160"/>
      </w:pPr>
      <w:r>
        <w:rPr>
          <w:rFonts w:ascii="Arial" w:cs="Arial" w:eastAsia="Arial" w:hAnsi="Arial"/>
          <w:b/>
          <w:bCs/>
          <w:sz w:val="28"/>
          <w:szCs w:val="28"/>
        </w:rPr>
        <w:t xml:space="preserve">3.1 Foreign Investment Review (National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1000"/>
        <w:gridCol w:w="2000"/>
        <w:gridCol w:w="2160"/>
      </w:tblGrid>
      <w:tr>
        <w:tc>
          <w:tcPr>
            <w:tcW w:type="dxa" w:w="1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Regime</w:t>
            </w:r>
          </w:p>
        </w:tc>
        <w:tc>
          <w:tcPr>
            <w:tcW w:type="dxa" w:w="1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Jurisdiction</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Criteria</w:t>
            </w:r>
          </w:p>
        </w:tc>
        <w:tc>
          <w:tcPr>
            <w:tcW w:type="dxa" w:w="1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Risk Factors</w:t>
            </w:r>
          </w:p>
        </w:tc>
        <w:tc>
          <w:tcPr>
            <w:tcW w:type="dxa" w:w="2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Model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CFIUS / FIRRMA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United States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Control transactions involving US businesses; non-controlling investments in TID businesses (critical tech, critical infrastructure, sensitive personal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45-day initial review + 45-day investigation; can extend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 technologies (export-controlled); sensitive personal data; proximity to military installations; investor nationality (adversary vs. 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foreign buyer acquiring US target; mandatory filing check for TID businesses; Known Investor Program eligibility for allied-nation investors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Foreign Subsidies Regulation (FSR)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European Union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M&amp;A where target has EU turnover &gt;EUR 500M and foreign financial contributions &gt;EUR 50M in prior 3 years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25 working days (Phase I) + 90 working days (Phase II)</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State subsidies from non-EU governments; below-market financing; tax advantages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Flag if acquirer has received government subsidies; check FSR notification thresholds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 Merger Regulation (EUMR)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European Union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Combined worldwide turnover &gt;EUR 5B and EU-wide turnover &gt;EUR 250M (each of at least two parties)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working days (Phase I) + 90 working days (Phase II)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Horizontal overlap; vertical foreclosure; conglomerate/ecosystem effects; digital market concentration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Calculate turnover thresholds; flag if killer acquisition risk in tech/pharma; check Art. 22 referral risk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HSR Act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United States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Transaction value exceeds $119.5M threshold (2025, adjusted annually); size-of-persons test may also apply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30-day waiting period; second request extends significantly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Horizontal concentration; market definition disputes; new HSR form (2025) dramatically expands disclosure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Mandatory pre-merger filing; flag deal value against current threshold; plan for 4-6 month timeline if second request likely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UK National Security &amp; Investment 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United Kingdom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Acquisitions in 17 sensitive sectors (AI, defense, energy, transport, etc.); mandatory notification for qualifying entities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working days (initial); additional 30-45 working days if called 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UK nexus to sensitive sectors; foreign state-owned enterprise involvement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target operates in UK sensitive sector; mandatory notification check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National Competition Authorities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Various (40+ jurisdictions)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Country-specific turnover and market share thresholds; some have call-in powers below thresholds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Varies by jurisdiction (days to months)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Multi-jurisdiction filing burden; timing coordination across regulators; remedies negotiation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Run multi-jurisdiction filing assessment; identify long-pole regulators for timeline planning</w:t>
            </w:r>
          </w:p>
        </w:tc>
      </w:tr>
    </w:tbl>
    <w:p>
      <w:pPr>
        <w:pStyle w:val="Heading2"/>
        <w:spacing w:before="280" w:after="160"/>
      </w:pPr>
      <w:r>
        <w:rPr>
          <w:rFonts w:ascii="Arial" w:cs="Arial" w:eastAsia="Arial" w:hAnsi="Arial"/>
          <w:b/>
          <w:bCs/>
          <w:sz w:val="28"/>
          <w:szCs w:val="28"/>
        </w:rPr>
        <w:t xml:space="preserve">3.2 International Tax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1800"/>
        <w:gridCol w:w="2160"/>
      </w:tblGrid>
      <w:t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Rules</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M&amp;A Impact</w:t>
            </w:r>
          </w:p>
        </w:tc>
        <w:tc>
          <w:tcPr>
            <w:tcW w:type="dxa" w:w="2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Model Encoding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OECD Pillar Two (GloBE Rules)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MNEs with &gt;EUR 750M consolidated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 global minimum ETR; Income Inclusion Rule (IIR); Undertaxed Profits Rule (UTPR); Qualified Domestic Minimum Top-up Tax (QDMTT)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Acquirers must model combined ETR by jurisdiction; low-tax subsidiaries may incur top-up tax post-acquisition; deal valuation must factor incremental tax burden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combined entity exceeds EUR 750M revenue; trigger jurisdiction-by-jurisdiction ETR analysis; adjust tax synergy projections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US GILTI Regime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US-parented MNEs with CFC subsidiaries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10.5% rate (rising to 13.125% in 2026); global averaging method; QBAI deduction for tangible assets; foreign tax credit offset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Does not satisfy Pillar Two on country-by-country basis; combined Pillar Two + GILTI exposure requires careful modeling; CAMT (Corporate Alternative Minimum Tax) adds additional layer</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Model GILTI + Pillar Two interaction; flag if GILTI rate increase in 2026 affects deal economics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Transfer Pricing (OECD Guidelines)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intercompany transactions within MNE groups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Arm’s length standard; Amount B simplified approach for distribution activities; mandatory documentation; CbCR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 pricing must be at arm’s length; intercompany restructuring post-acquisition must comply; IP migration creates transfer pricing exposure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 TSA pricing approach; flag IP-intensive targets for transfer pricing risk; enable CbCR data collection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Withholding Taxes &amp; Treaties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Cross-border payments (dividends, interest, royalties)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Treaty rates vary 0-30%; EU Parent-Subsidiary Directive eliminates WHT on intra-EU dividends; US treaty network</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Holding structure determines WHT efficiency; cash repatriation costs affect deal returns; treaty shopping anti-avoidance rules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Map entity structure to treaty network; optimize holding jurisdiction for cash upstreaming; flag non-treaty jurisdictions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Indirect Tax (VAT/GST)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Asset transfers, service provisions, TSA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VAT treatment varies by transaction type and jurisdiction; transfer of going concern (TOGC) exemptions; TSA services generally subject to VAT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Asset purchases may trigger VAT on transferred assets; TSA services create VAT obligations; cross-border service VAT reverse-charge mechanisms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 Indirect Tax section for asset deals; flag TSA VAT implications; check TOGC eligibility</w:t>
            </w:r>
          </w:p>
        </w:tc>
      </w:tr>
    </w:tbl>
    <w:p>
      <w:r>
        <w:br w:type="page"/>
      </w:r>
    </w:p>
    <w:p>
      <w:pPr>
        <w:pStyle w:val="Heading1"/>
        <w:spacing w:before="360" w:after="200"/>
      </w:pPr>
      <w:r>
        <w:rPr>
          <w:rFonts w:ascii="Arial" w:cs="Arial" w:eastAsia="Arial" w:hAnsi="Arial"/>
          <w:b/>
          <w:bCs/>
          <w:sz w:val="32"/>
          <w:szCs w:val="32"/>
        </w:rPr>
        <w:t xml:space="preserve">4. TSA Decision &amp; Governance Framework</w:t>
      </w:r>
    </w:p>
    <w:p>
      <w:pPr>
        <w:spacing w:after="120"/>
      </w:pPr>
      <w:r>
        <w:rPr>
          <w:rFonts w:ascii="Arial" w:cs="Arial" w:eastAsia="Arial" w:hAnsi="Arial"/>
          <w:sz w:val="20"/>
          <w:szCs w:val="20"/>
        </w:rPr>
        <w:t xml:space="preserve">The training model must encode TSA determination logic, service categorization, and exit planning frameworks to support both the PRD’s TSA workstream (FR-16 through FR-18) and cross-border-specific TSA considerations.</w:t>
      </w:r>
    </w:p>
    <w:p>
      <w:pPr>
        <w:pStyle w:val="Heading2"/>
        <w:spacing w:before="280" w:after="160"/>
      </w:pPr>
      <w:r>
        <w:rPr>
          <w:rFonts w:ascii="Arial" w:cs="Arial" w:eastAsia="Arial" w:hAnsi="Arial"/>
          <w:b/>
          <w:bCs/>
          <w:sz w:val="28"/>
          <w:szCs w:val="28"/>
        </w:rPr>
        <w:t xml:space="preserve">4.1 TSA Service Categories &amp; Typical Durations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2400"/>
        <w:gridCol w:w="3160"/>
      </w:tblGrid>
      <w:t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Category</w:t>
            </w:r>
          </w:p>
        </w:tc>
        <w:tc>
          <w:tcPr>
            <w:tcW w:type="dxa" w:w="1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Duration</w:t>
            </w:r>
          </w:p>
        </w:tc>
        <w:tc>
          <w:tcPr>
            <w:tcW w:type="dxa" w:w="1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Complexity</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Considerations</w:t>
            </w:r>
          </w:p>
        </w:tc>
        <w:tc>
          <w:tcPr>
            <w:tcW w:type="dxa" w:w="31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Additions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IT Infrastructure &amp; Applications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6–18 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ERP separation; data migration; license transfer; system access; cybersecurity during shared period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localization requirements; GDPR data processing agreements; AI Act compliance checks on shared AI systems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Finance &amp; Accounting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3–12 months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Medium-High</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 close support; consolidation; statutory reporting; intercompany accounting; tax filings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Multi-GAAP reporting (IFRS/local GAAP); multi-currency close; transfer pricing documentation for TSA fees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HR &amp; Payroll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3–9 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Payroll processing; benefits administration; HRIS access; employee data transfer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TUPE compliance (EU/UK); works council notifications; cross-border payroll tax; social security coordination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Treasury &amp; Banking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3–6 months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Medium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Cash management; bank account transitions; payment processing; FX hedging</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Multi-currency cash pools; cross-border payment routing; SWIFT/banking relationship transfers; sanctions screening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&amp;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 months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filings; license maintenance; contract management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Multi-jurisdiction regulatory filings; competition authority compliance; data privacy transfer impact assessments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Facilities &amp; Real Estate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6–24 months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Low-Medium</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Shared office space; lease assignments; utility transfers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Cross-border lease law differences; landlord consent requirements by jurisdiction; property tax implications</w:t>
            </w:r>
          </w:p>
        </w:tc>
      </w:tr>
    </w:tbl>
    <w:p>
      <w:pPr>
        <w:pStyle w:val="Heading2"/>
        <w:spacing w:before="280" w:after="160"/>
      </w:pPr>
      <w:r>
        <w:rPr>
          <w:rFonts w:ascii="Arial" w:cs="Arial" w:eastAsia="Arial" w:hAnsi="Arial"/>
          <w:b/>
          <w:bCs/>
          <w:sz w:val="28"/>
          <w:szCs w:val="28"/>
        </w:rPr>
        <w:t xml:space="preserve">4.2 TSA Pricing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800"/>
        <w:gridCol w:w="1960"/>
      </w:tblGrid>
      <w:t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Structure</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Advantages</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Risks</w:t>
            </w:r>
          </w:p>
        </w:tc>
        <w:tc>
          <w:tcPr>
            <w:tcW w:type="dxa" w:w="19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Model Recommendation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Cost-Plus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Seller’s direct cost + agreed markup (typically 5–15%)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Transparent; reflects actual cost; standard market practice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Seller has limited incentive to reduce costs or improve efficiency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recommendation; flag if markup exceeds 15%</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Flat Fee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Fixed monthly fee per service regardless of usage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Budget certainty for buyer; simple administration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May not reflect actual cost; disputes if scope changes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Recommend for well-defined, stable services (e.g., facilities)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&amp; Materials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Actual hours x agreed rate + materials at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Flexible for variable-scope services; fair for both parties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Unpredictable costs; requires robust tracking and reporting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 for project-based services (data migration, system cutover)</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Declining Scale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Rate decreases over TSA term to incentivize exit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Aligns incentives; encourages buyer independence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Complex to administer; may create cliff effects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Recommend for services &gt;6 months; builds in exit incentive</w:t>
            </w:r>
          </w:p>
        </w:tc>
      </w:tr>
    </w:tbl>
    <w:p>
      <w:pPr>
        <w:pStyle w:val="Heading2"/>
        <w:spacing w:before="280" w:after="160"/>
      </w:pPr>
      <w:r>
        <w:rPr>
          <w:rFonts w:ascii="Arial" w:cs="Arial" w:eastAsia="Arial" w:hAnsi="Arial"/>
          <w:b/>
          <w:bCs/>
          <w:sz w:val="28"/>
          <w:szCs w:val="28"/>
        </w:rPr>
        <w:t xml:space="preserve">4.3 TSA Governance &amp; Exit Planning</w:t>
      </w:r>
    </w:p>
    <w:p>
      <w:pPr>
        <w:spacing w:after="120"/>
      </w:pPr>
      <w:r>
        <w:rPr>
          <w:rFonts w:ascii="Arial" w:cs="Arial" w:eastAsia="Arial" w:hAnsi="Arial"/>
          <w:sz w:val="20"/>
          <w:szCs w:val="20"/>
        </w:rPr>
        <w:t xml:space="preserve">The model should encode the following governance best practices drawn from Deloitte, Mayer Brown, and M&amp;A Leadership Council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Governance Element</w:t>
            </w:r>
          </w:p>
        </w:tc>
        <w:tc>
          <w:tcPr>
            <w:tcW w:type="dxa" w:w="3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Enhancement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 Office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point of contact on buyer side managing all TSA services, SLAs, exits, and extensions; regular reporting cadence to IMO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Designate regional TSA coordinators for multi-jurisdiction deals; align reporting cadence across time zones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Service Level Agreements</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Define measurable performance criteria for each service (response times, uptime, accuracy); penalties for non-performance</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SLAs must account for local business days, holidays, and time zones; data privacy SLAs must meet most restrictive jurisdiction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Exit Milestones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Defined milestones and handover deadlines for each service; extension provisions with premium pricing to incentivize timely exit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Sequence exits by regulatory dependency; some jurisdictions require continued services until regulatory approvals complete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Separation vs. Integration</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Clear allocation of responsibility — separation (seller) vs. integration (buyer); principles for comingled data</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GDPR Article 28 processor agreements during shared period; data mapping before separation; cross-border data transfer mechanisms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Dispute Resolution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Escalation framework (operational leads → executive sponsors → mediation/arbitration); governing law specification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Specify governing law and arbitration venue acceptable to both parties; consider ICC arbitration for cross-border disputes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Change Management</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Process for amending TSA scope, adding/removing services; mutual consent requirement; cost impact assessment</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Currency for pricing amendments; regulatory change provisions (new compliance requirements discovered post-close)</w:t>
            </w:r>
          </w:p>
        </w:tc>
      </w:tr>
    </w:tbl>
    <w:p>
      <w:r>
        <w:br w:type="page"/>
      </w:r>
    </w:p>
    <w:p>
      <w:pPr>
        <w:pStyle w:val="Heading1"/>
        <w:spacing w:before="360" w:after="200"/>
      </w:pPr>
      <w:r>
        <w:rPr>
          <w:rFonts w:ascii="Arial" w:cs="Arial" w:eastAsia="Arial" w:hAnsi="Arial"/>
          <w:b/>
          <w:bCs/>
          <w:sz w:val="32"/>
          <w:szCs w:val="32"/>
        </w:rPr>
        <w:t xml:space="preserve">5. Due Diligence Knowledge Base</w:t>
      </w:r>
    </w:p>
    <w:p>
      <w:pPr>
        <w:spacing w:after="120"/>
      </w:pPr>
      <w:r>
        <w:rPr>
          <w:rFonts w:ascii="Arial" w:cs="Arial" w:eastAsia="Arial" w:hAnsi="Arial"/>
          <w:sz w:val="20"/>
          <w:szCs w:val="20"/>
        </w:rPr>
        <w:t xml:space="preserve">The training model should encode due diligence considerations organized by functional area, with cross-border-specific items flagged. This directly supports FR-13 (line-item guidance prompts) and FR-12 (automated risk assessment).</w:t>
      </w:r>
    </w:p>
    <w:p>
      <w:pPr>
        <w:pStyle w:val="Heading2"/>
        <w:spacing w:before="280" w:after="160"/>
      </w:pPr>
      <w:r>
        <w:rPr>
          <w:rFonts w:ascii="Arial" w:cs="Arial" w:eastAsia="Arial" w:hAnsi="Arial"/>
          <w:b/>
          <w:bCs/>
          <w:sz w:val="28"/>
          <w:szCs w:val="28"/>
        </w:rPr>
        <w:t xml:space="preserve">5.1 Finance Due Diligence — Cross-Border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900"/>
        <w:gridCol w:w="2860"/>
      </w:tblGrid>
      <w:t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DD Item</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Cross-Border Enhancement</w:t>
            </w:r>
          </w:p>
        </w:tc>
        <w:tc>
          <w:tcPr>
            <w:tcW w:type="dxa" w:w="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c>
          <w:tcPr>
            <w:tcW w:type="dxa" w:w="28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Prompt Guidance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of Earnings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Normalize EBITDA for one-time items; validate revenue recognition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Reconcile under both GAAP frameworks (US GAAP vs. IFRS); FX impact on reported earnings; intercompany margin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Have you identified all intercompany transactions that will be eliminated or repriced post-acquisition?</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Working Capital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Analyze working capital trends and seasonality; define peg and collar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Currency denomination of working capital components; FX exposure on cross-border receivables/payables; customs duty implications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Have you stress-tested working capital under adverse FX scenarios?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Compliance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tax returns, audits, and contingent tax liabilities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Multi-jurisdiction tax compliance history; transfer pricing disputes; permanent establishment risk; VAT recovery positions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Are there open tax audits or assessments in any jurisdiction? What is the statute of limitations exposure?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Legal Entity Structure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Map entity hierarchy and intercompany agreements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Holding company efficiency; treaty access; CFC exposure; dormant entity cleanup; local director and registration requirements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Have you mapped the complete legal entity structure including all dormant entities and nominee arrangements?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Employee Benefits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 pension obligations, stock compensation, employment agreements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Cross-border pension portability; social security treaty coverage; change-of-control provisions; works council consultation requirements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Have you identified all jurisdictions with defined benefit obligations or unfunded pension liabilities?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Regulatory Compliance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Review licenses, permits, regulatory filings, consent orders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Multi-jurisdiction license mapping; anti-bribery compliance (FCPA, UK Bribery Act); sanctions screening; ESG regulatory obligations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Have you completed a jurisdiction-by-jurisdiction regulatory license inventory including transfer/assignment requirements?</w:t>
            </w:r>
          </w:p>
        </w:tc>
      </w:tr>
    </w:tbl>
    <w:p>
      <w:r>
        <w:br w:type="page"/>
      </w:r>
    </w:p>
    <w:p>
      <w:pPr>
        <w:pStyle w:val="Heading1"/>
        <w:spacing w:before="360" w:after="200"/>
      </w:pPr>
      <w:r>
        <w:rPr>
          <w:rFonts w:ascii="Arial" w:cs="Arial" w:eastAsia="Arial" w:hAnsi="Arial"/>
          <w:b/>
          <w:bCs/>
          <w:sz w:val="32"/>
          <w:szCs w:val="32"/>
        </w:rPr>
        <w:t xml:space="preserve">6. Integration Risk Assessment Taxonomy</w:t>
      </w:r>
    </w:p>
    <w:p>
      <w:pPr>
        <w:spacing w:after="120"/>
      </w:pPr>
      <w:r>
        <w:rPr>
          <w:rFonts w:ascii="Arial" w:cs="Arial" w:eastAsia="Arial" w:hAnsi="Arial"/>
          <w:sz w:val="20"/>
          <w:szCs w:val="20"/>
        </w:rPr>
        <w:t xml:space="preserve">This taxonomy supports FR-12 (automated risk assessment) by encoding common risk patterns and their indicators, enabling the AI model to surface risks based on deal context and status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2000"/>
        <w:gridCol w:w="2660"/>
      </w:tblGrid>
      <w:t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Category</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Indicators</w:t>
            </w:r>
          </w:p>
        </w:tc>
        <w:tc>
          <w:tcPr>
            <w:tcW w:type="dxa" w:w="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c>
          <w:tcPr>
            <w:tcW w:type="dxa" w:w="26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Detection 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Delay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CFIUS filing pending; multi-jurisdiction antitrust review; HSR second request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Negotiate long-stop date; prepare remedies proactively; engage regulatory counsel early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&gt;3 jurisdictions require filing; flag if target in CFIUS-sensitive sector; trigger if close date &lt; 6 months with pending reviews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Tax Structure Leakage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 Two top-up tax exposure; withholding tax on repatriation; transfer pricing adjustment risk</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Model combined ETR pre-signing; structure holding company optimally; obtain advance pricing agreements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Flag if any jurisdiction ETR &lt; 15%; flag if non-treaty jurisdiction in entity chain; flag if intercompany royalty/interest flows &gt; $10M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 Dependency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Buyer unable to stand up services by TSA expiration; seller disengagement; service quality degradation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Begin exit planning at signing; appoint TSA office; negotiate extension provisions with premium pricing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TSA duration &gt;12 months for any service; flag if &gt;5 services on TSA; flag if buyer has no standalone infrastructure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Privacy Breach</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GDPR violations during data migration; cross-border data transfers without adequate safeguards; AI Act non-compliance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Conduct DPIA pre-close; implement standard contractual clauses; audit AI systems for Act compliance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Enable Cybersecurity workstream for all cross-border; flag if target processes EU personal data; flag AI/ML systems in 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Cultural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Employee attrition post-close; works council resistance; cross-border management friction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Retention bonuses for key personnel; cultural assessment during DD; communication strategy pre-announcement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target has works councils; flag if &gt;30% workforce in different country than acquirer; trigger talent retention workstream</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Financial Reporting Gap</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Incompatible chart of accounts; different GAAP frameworks; consolidation delays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Map COA during DD; establish interim manual reporting; plan system migration timeline</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Flag if target uses different GAAP; flag if &gt;5 legal entities with separate ledgers; trigger Consolidation workstream at full 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Stranded Costs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Seller retains overhead allocated to divested business; buyer’s TSA fees don’t cover full cost; delayed synergy realization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 stranded costs during DD; negotiate seller indemnification; plan rapid TSA exit for high-cost services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for all carve-out transactions; trigger Integration Budget workstream; model stranded cost run-off timeline</w:t>
            </w:r>
          </w:p>
        </w:tc>
      </w:tr>
    </w:tbl>
    <w:p>
      <w:r>
        <w:br w:type="page"/>
      </w:r>
    </w:p>
    <w:p>
      <w:pPr>
        <w:pStyle w:val="Heading1"/>
        <w:spacing w:before="360" w:after="200"/>
      </w:pPr>
      <w:r>
        <w:rPr>
          <w:rFonts w:ascii="Arial" w:cs="Arial" w:eastAsia="Arial" w:hAnsi="Arial"/>
          <w:b/>
          <w:bCs/>
          <w:sz w:val="32"/>
          <w:szCs w:val="32"/>
        </w:rPr>
        <w:t xml:space="preserve">7. PRD Requirements Cross-Reference</w:t>
      </w:r>
    </w:p>
    <w:p>
      <w:pPr>
        <w:spacing w:after="120"/>
      </w:pPr>
      <w:r>
        <w:rPr>
          <w:rFonts w:ascii="Arial" w:cs="Arial" w:eastAsia="Arial" w:hAnsi="Arial"/>
          <w:sz w:val="20"/>
          <w:szCs w:val="20"/>
        </w:rPr>
        <w:t xml:space="preserve">This section maps each knowledge domain in this framework to specific PRD functional requirements, ensuring the training model covers all product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PRD Requirement</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 Section</w:t>
            </w:r>
          </w:p>
        </w:tc>
        <w:tc>
          <w:tcPr>
            <w:tcW w:type="dxa" w:w="3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Training Data Needed</w:t>
            </w:r>
          </w:p>
        </w:tc>
        <w:tc>
          <w:tcPr>
            <w:tcW w:type="dxa" w:w="23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FR-1: Intake 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1.2, 2.2, 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 type definitions; integration model options; shared services transfer questions; cross-border flag triggers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 Core intake logic</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FR-3: Dynamic Configuration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Section 1.2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Decision tree mapping intake answers to workstream activation; greying-out logic for transferred services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1 — Conditional task activation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FR-6: Industry-Specific Variants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2.2, 3.1, 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Sector-specific regulatory requirements (defense/CFIUS, pharma/FDA, financial services/banking licenses)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 — Industry overlays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FR-12: Automated Risk Assessment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Section 6</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Risk indicator definitions; severity scoring; detection logic rules; status + date + context analysis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1 — Core AI insights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FR-13: Line-Item Guidance Prompts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 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 prompts per DD area; cross-border enhancement prompts; have you thought through X patterns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 Embedded expertise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FR-14: Context-Aware Task Adjustment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Sections 1.2, 4.1</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Deal structure → task mapping; TSA determination logic; cross-border workstream activation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1 — Dynamic scoping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FR-16: TSA Determination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4.1, 4.2, 4.3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Service category definitions; duration benchmarks; pricing models; governance framework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 — TSA module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FR-17: TSA Content Library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Sections 4.1, 4.2, 4.3</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Anonymized TSA schedule templates; SLA templates; exit planning checklists; pricing benchmarks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2 — Template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FR-23: External Data Ingestion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Sections 3.2,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 Two country tracker data; CFIUS filing statistics; antitrust threshold databases; FX rate feeds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 — External data feeds</w:t>
            </w:r>
          </w:p>
        </w:tc>
      </w:tr>
    </w:tbl>
    <w:p>
      <w:r>
        <w:br w:type="page"/>
      </w:r>
    </w:p>
    <w:p>
      <w:pPr>
        <w:pStyle w:val="Heading1"/>
        <w:spacing w:before="360" w:after="200"/>
      </w:pPr>
      <w:r>
        <w:rPr>
          <w:rFonts w:ascii="Arial" w:cs="Arial" w:eastAsia="Arial" w:hAnsi="Arial"/>
          <w:b/>
          <w:bCs/>
          <w:sz w:val="32"/>
          <w:szCs w:val="32"/>
        </w:rPr>
        <w:t xml:space="preserve">8. Source References</w:t>
      </w:r>
    </w:p>
    <w:p>
      <w:pPr>
        <w:spacing w:after="120"/>
      </w:pPr>
      <w:r>
        <w:rPr>
          <w:rFonts w:ascii="Arial" w:cs="Arial" w:eastAsia="Arial" w:hAnsi="Arial"/>
          <w:sz w:val="20"/>
          <w:szCs w:val="20"/>
        </w:rPr>
        <w:t xml:space="preserve">The following authoritative sources were consulted in developing this framework and should be referenced for ongoing model training and content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900"/>
        <w:gridCol w:w="3060"/>
      </w:tblGrid>
      <w:t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Publisher</w:t>
            </w:r>
          </w:p>
        </w:tc>
        <w:tc>
          <w:tcPr>
            <w:tcW w:type="dxa" w:w="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306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 Reference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 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Cross-Border M&amp;A Guide 2024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Wachtell Lipton Rosen &amp; Katz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wlrk.com/cross-border-ma-guide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Deal Structure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Cross-Border M&amp;A 2025 Checklist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Wachtell Lipton Rosen &amp; Katz</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Jan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lawdragon.com/2025-01-27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Cross-Border M&amp;A 2025: Legal, Regulatory &amp; Tax Insights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P4i M&amp;A Dealmakers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Aug 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p4i.group/knowledge-hub</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Cross-Border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Cross-Border M&amp;A Takeaways 2025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Dentons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Jan 2026</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dentons.com/insights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Corporate M&amp;A 2025 Practice Guide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Chambers and Partners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practiceguides.chambers.com</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Regulatory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Merger Control 2025 Practice Guide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Chambers and Partners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practiceguides.chambers.com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CFIUS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CFIUS Overview and FIRRMA Implementation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Department of the Treasury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 2026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home.treasury.gov/cfius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CFIUS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Foreign Direct Investment Reviews 2025: US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White &amp;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whitecase.com/insight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CFIUS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America First Investment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 House / Treasury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Feb 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Known Investor Program; Fast-Track Pilot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Tax</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OECD Pillar Two GloBE Rules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OECD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Updated Mar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oecd.org/global-minimum-tax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 Two Country Tracker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pwc.com/pillar-two-readiness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Tax</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How Pillar Two Affects US Multinational Taxes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Tax Policy Center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Apr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taxpolicycenter.org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 Update to OECD Model Tax Convention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OECD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 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oecd.org/publications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Regulation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Merger Control Highlights 2024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WilmerHale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Jan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wilmerhale.com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 Regulation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EU Foreign Subsidies Regulation Guidelines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Sidley Austin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 2026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sidley.com/insights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Regulation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 Merger Guidelines Review</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European Commission / Cleary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May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clearyantitrustwatch.com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Art of TSA Negotiations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Deloitte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deloitte.com/us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TSA</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Negotiating TSAs in Carve-Out M&amp;A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Mayer Brown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Oct 2024</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mayerbrown.com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 Structuring and Management in Carve-Outs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M&amp;A Leadership Council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macouncil.org</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TSA</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2026 Seller’s Guide to Effective TSAs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CrossCountry Consulting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Oct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crosscountry-consulting.com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Finance M&amp;A Integration Checklist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DealRoom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dealroom.net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Integration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M&amp;A IT Playbook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Info-Tech Research Group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Apr 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infotech.com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Tax Structuring in M&amp;A: Key Strategies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Clark Nuber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Jul 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clarknuber.com</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Legal Entity</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Legal Entity Structuring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Deloitte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2025</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deloitte.com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Deal 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Legal M&amp;A Deal Structures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Financial Poise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Jan 2025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financialpoise.com</w:t>
            </w:r>
          </w:p>
        </w:tc>
      </w:tr>
    </w:tbl>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M&amp;A Training Model Framework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F549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F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2026-02-11T03:32:04.733Z</dcterms:created>
  <dcterms:modified xsi:type="dcterms:W3CDTF">2026-02-11T03:32:04.734Z</dcterms:modified>
</cp:coreProperties>
</file>

<file path=docProps/custom.xml><?xml version="1.0" encoding="utf-8"?>
<Properties xmlns="http://schemas.openxmlformats.org/officeDocument/2006/custom-properties" xmlns:vt="http://schemas.openxmlformats.org/officeDocument/2006/docPropsVTypes"/>
</file>