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jc w:val="center"/>
      </w:pPr>
      <w:r>
        <w:rPr>
          <w:rFonts w:ascii="Arial" w:cs="Arial" w:eastAsia="Arial" w:hAnsi="Arial"/>
          <w:b/>
          <w:bCs/>
          <w:color w:val="0F1B2D"/>
          <w:sz w:val="56"/>
          <w:szCs w:val="56"/>
        </w:rPr>
        <w:t xml:space="preserve">M&amp;A INTEGRATION ENGINE</w:t>
      </w:r>
    </w:p>
    <w:p>
      <w:pPr>
        <w:spacing w:after="200"/>
        <w:jc w:val="center"/>
      </w:pPr>
      <w:r>
        <w:rPr>
          <w:rFonts w:ascii="Arial" w:cs="Arial" w:eastAsia="Arial" w:hAnsi="Arial"/>
          <w:color w:val="2D4A7A"/>
          <w:sz w:val="36"/>
          <w:szCs w:val="36"/>
        </w:rPr>
        <w:t xml:space="preserve">Product Requirements Document</w:t>
      </w:r>
    </w:p>
    <w:p>
      <w:pPr>
        <w:spacing w:after="100"/>
        <w:jc w:val="center"/>
      </w:pPr>
      <w:r>
        <w:rPr>
          <w:rFonts w:ascii="Arial" w:cs="Arial" w:eastAsia="Arial" w:hAnsi="Arial"/>
          <w:color w:val="2D4A7A"/>
          <w:sz w:val="28"/>
          <w:szCs w:val="28"/>
        </w:rPr>
        <w:t xml:space="preserve">Version 1.0 — Prototype-Ready Specification</w:t>
      </w:r>
    </w:p>
    <w:p>
      <w:pPr>
        <w:spacing w:before="400"/>
        <w:jc w:val="center"/>
      </w:pPr>
      <w:r>
        <w:rPr>
          <w:rFonts w:ascii="Arial" w:cs="Arial" w:eastAsia="Arial" w:hAnsi="Arial"/>
          <w:color w:val="666666"/>
          <w:sz w:val="24"/>
          <w:szCs w:val="24"/>
        </w:rPr>
        <w:t xml:space="preserve">Phase 1 MVP | February 2026 | DRAFT</w:t>
      </w:r>
    </w:p>
    <w:p>
      <w:pPr>
        <w:spacing w:before="600"/>
        <w:jc w:val="center"/>
      </w:pPr>
      <w:r>
        <w:rPr>
          <w:rFonts w:ascii="Arial" w:cs="Arial" w:eastAsia="Arial" w:hAnsi="Arial"/>
          <w:b/>
          <w:bCs/>
          <w:color w:val="0F1B2D"/>
          <w:sz w:val="20"/>
          <w:szCs w:val="20"/>
        </w:rPr>
        <w:t xml:space="preserve">Companion Documents:</w:t>
      </w:r>
    </w:p>
    <w:p>
      <w:pPr>
        <w:jc w:val="center"/>
      </w:pPr>
      <w:r>
        <w:rPr>
          <w:rFonts w:ascii="Arial" w:cs="Arial" w:eastAsia="Arial" w:hAnsi="Arial"/>
          <w:color w:val="666666"/>
          <w:sz w:val="18"/>
          <w:szCs w:val="18"/>
        </w:rPr>
        <w:t xml:space="preserve">MA Training Model Framework (Feb 2026) • MA Decision Tree &amp; Agentic Workflow (Feb 2026)</w:t>
      </w:r>
    </w:p>
    <w:p>
      <w:pPr>
        <w:jc w:val="center"/>
      </w:pPr>
      <w:r>
        <w:rPr>
          <w:rFonts w:ascii="Arial" w:cs="Arial" w:eastAsia="Arial" w:hAnsi="Arial"/>
          <w:color w:val="666666"/>
          <w:sz w:val="18"/>
          <w:szCs w:val="18"/>
        </w:rPr>
        <w:t xml:space="preserve">PMO Dashboard Wireframe (Feb 2026) • Neon Data Model Schema (Feb 2026)</w:t>
      </w:r>
    </w:p>
    <w:p>
      <w:pPr>
        <w:jc w:val="center"/>
      </w:pPr>
      <w:r>
        <w:rPr>
          <w:rFonts w:ascii="Arial" w:cs="Arial" w:eastAsia="Arial" w:hAnsi="Arial"/>
          <w:color w:val="666666"/>
          <w:sz w:val="18"/>
          <w:szCs w:val="18"/>
        </w:rPr>
        <w:t xml:space="preserve">Finance Readiness Checklist — 443 Items (Feb 2026)</w:t>
      </w:r>
    </w:p>
    <w:p>
      <w:pPr>
        <w:sectPr>
          <w:pgSz w:w="15840" w:h="12240" w:orient="landscape"/>
          <w:pgMar w:top="1200" w:right="1200" w:bottom="1200" w:left="1200" w:header="708" w:footer="708" w:gutter="0"/>
          <w:pgNumType/>
          <w:docGrid w:linePitch="360"/>
        </w:sectPr>
      </w:pPr>
    </w:p>
    <w:p>
      <w:pPr>
        <w:pStyle w:val="Heading1"/>
      </w:pPr>
      <w:r>
        <w:rPr>
          <w:rFonts w:ascii="Arial" w:cs="Arial" w:eastAsia="Arial" w:hAnsi="Arial"/>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rPr>
          <w:rFonts w:ascii="Arial" w:cs="Arial" w:eastAsia="Arial" w:hAnsi="Arial"/>
        </w:rPr>
        <w:t xml:space="preserve">1. Executive Summary</w:t>
      </w:r>
    </w:p>
    <w:p>
      <w:pPr>
        <w:spacing w:after="120"/>
      </w:pPr>
      <w:r>
        <w:rPr>
          <w:rFonts w:ascii="Arial" w:cs="Arial" w:eastAsia="Arial" w:hAnsi="Arial"/>
          <w:sz w:val="20"/>
          <w:szCs w:val="20"/>
        </w:rPr>
        <w:t xml:space="preserve">This PRD defines the prototype-ready specification for the M&amp;A Integration Engine, an AI-driven deal workflow system that dynamically generates, configures, and manages integration activities from Day 1 through Year 1 post-close. The system reduces manual overhead for PMO advisors while ensuring comprehensive coverage of critical M&amp;A integration activities across 12 workstreams and 443 checklist items.</w:t>
      </w:r>
    </w:p>
    <w:p>
      <w:pPr>
        <w:spacing w:after="120"/>
      </w:pPr>
      <w:r>
        <w:rPr>
          <w:rFonts w:ascii="Arial" w:cs="Arial" w:eastAsia="Arial" w:hAnsi="Arial"/>
          <w:sz w:val="20"/>
          <w:szCs w:val="20"/>
        </w:rPr>
        <w:t xml:space="preserve">This document consolidates all prior architectural work into a single implementation specification:</w:t>
      </w:r>
    </w:p>
    <w:tbl>
      <w:tblPr>
        <w:tblW w:type="dxa" w:w="13440"/>
        <w:tblBorders>
          <w:top w:val="single" w:color="auto" w:sz="4"/>
          <w:left w:val="single" w:color="auto" w:sz="4"/>
          <w:bottom w:val="single" w:color="auto" w:sz="4"/>
          <w:right w:val="single" w:color="auto" w:sz="4"/>
          <w:insideH w:val="single" w:color="auto" w:sz="4"/>
          <w:insideV w:val="single" w:color="auto" w:sz="4"/>
        </w:tblBorders>
      </w:tblPr>
      <w:tblGrid>
        <w:gridCol w:w="2800"/>
        <w:gridCol w:w="7640"/>
        <w:gridCol w:w="3000"/>
      </w:tblGrid>
      <w:tr>
        <w:tc>
          <w:tcPr>
            <w:tcW w:type="dxa" w:w="2800"/>
            <w:tcBorders>
              <w:top w:val="single" w:color="B0C4DE" w:sz="1"/>
              <w:left w:val="single" w:color="B0C4DE" w:sz="1"/>
              <w:bottom w:val="single" w:color="B0C4DE" w:sz="1"/>
              <w:right w:val="single" w:color="B0C4DE" w:sz="1"/>
            </w:tcBorders>
            <w:shd w:fill="1E3A5F" w:val="clear"/>
            <w:tcMar>
              <w:top w:type="dxa" w:w="60"/>
              <w:left w:type="dxa" w:w="100"/>
              <w:bottom w:type="dxa" w:w="60"/>
              <w:right w:type="dxa" w:w="100"/>
            </w:tcMar>
            <w:vAlign w:val="center"/>
          </w:tcPr>
          <w:p>
            <w:r>
              <w:rPr>
                <w:rFonts w:ascii="Arial" w:cs="Arial" w:eastAsia="Arial" w:hAnsi="Arial"/>
                <w:b/>
                <w:bCs/>
                <w:color w:val="FFFFFF"/>
                <w:sz w:val="18"/>
                <w:szCs w:val="18"/>
              </w:rPr>
              <w:t xml:space="preserve">Deliverable</w:t>
            </w:r>
          </w:p>
        </w:tc>
        <w:tc>
          <w:tcPr>
            <w:tcW w:type="dxa" w:w="7640"/>
            <w:tcBorders>
              <w:top w:val="single" w:color="B0C4DE" w:sz="1"/>
              <w:left w:val="single" w:color="B0C4DE" w:sz="1"/>
              <w:bottom w:val="single" w:color="B0C4DE" w:sz="1"/>
              <w:right w:val="single" w:color="B0C4DE" w:sz="1"/>
            </w:tcBorders>
            <w:shd w:fill="1E3A5F" w:val="clear"/>
            <w:tcMar>
              <w:top w:type="dxa" w:w="60"/>
              <w:left w:type="dxa" w:w="100"/>
              <w:bottom w:type="dxa" w:w="60"/>
              <w:right w:type="dxa" w:w="100"/>
            </w:tcMar>
            <w:vAlign w:val="center"/>
          </w:tcPr>
          <w:p>
            <w:r>
              <w:rPr>
                <w:rFonts w:ascii="Arial" w:cs="Arial" w:eastAsia="Arial" w:hAnsi="Arial"/>
                <w:b/>
                <w:bCs/>
                <w:color w:val="FFFFFF"/>
                <w:sz w:val="18"/>
                <w:szCs w:val="18"/>
              </w:rPr>
              <w:t xml:space="preserve">Scope</w:t>
            </w:r>
          </w:p>
        </w:tc>
        <w:tc>
          <w:tcPr>
            <w:tcW w:type="dxa" w:w="3000"/>
            <w:tcBorders>
              <w:top w:val="single" w:color="B0C4DE" w:sz="1"/>
              <w:left w:val="single" w:color="B0C4DE" w:sz="1"/>
              <w:bottom w:val="single" w:color="B0C4DE" w:sz="1"/>
              <w:right w:val="single" w:color="B0C4DE" w:sz="1"/>
            </w:tcBorders>
            <w:shd w:fill="1E3A5F" w:val="clear"/>
            <w:tcMar>
              <w:top w:type="dxa" w:w="60"/>
              <w:left w:type="dxa" w:w="100"/>
              <w:bottom w:type="dxa" w:w="60"/>
              <w:right w:type="dxa" w:w="100"/>
            </w:tcMar>
            <w:vAlign w:val="center"/>
          </w:tcPr>
          <w:p>
            <w:r>
              <w:rPr>
                <w:rFonts w:ascii="Arial" w:cs="Arial" w:eastAsia="Arial" w:hAnsi="Arial"/>
                <w:b/>
                <w:bCs/>
                <w:color w:val="FFFFFF"/>
                <w:sz w:val="18"/>
                <w:szCs w:val="18"/>
              </w:rPr>
              <w:t xml:space="preserve">System Role</w:t>
            </w:r>
          </w:p>
        </w:tc>
      </w:tr>
      <w:tr>
        <w:tc>
          <w:tcPr>
            <w:tcW w:type="dxa" w:w="280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b/>
                <w:bCs/>
                <w:sz w:val="18"/>
                <w:szCs w:val="18"/>
              </w:rPr>
              <w:t xml:space="preserve">Training Model Framework</w:t>
            </w:r>
          </w:p>
        </w:tc>
        <w:tc>
          <w:tcPr>
            <w:tcW w:type="dxa" w:w="764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sz w:val="18"/>
                <w:szCs w:val="18"/>
              </w:rPr>
              <w:t xml:space="preserve">8-section knowledge base covering deal structures, legal entities, cross-border regulation, TSA frameworks, due diligence, risk taxonomy, and 70+ authoritative sources</w:t>
            </w:r>
          </w:p>
        </w:tc>
        <w:tc>
          <w:tcPr>
            <w:tcW w:type="dxa" w:w="300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sz w:val="18"/>
                <w:szCs w:val="18"/>
              </w:rPr>
              <w:t xml:space="preserve">Knowledge Layer</w:t>
            </w:r>
          </w:p>
        </w:tc>
      </w:tr>
      <w:tr>
        <w:tc>
          <w:tcPr>
            <w:tcW w:type="dxa" w:w="2800"/>
            <w:tcBorders>
              <w:top w:val="single" w:color="B0C4DE" w:sz="1"/>
              <w:left w:val="single" w:color="B0C4DE" w:sz="1"/>
              <w:bottom w:val="single" w:color="B0C4DE" w:sz="1"/>
              <w:right w:val="single" w:color="B0C4DE" w:sz="1"/>
            </w:tcBorders>
            <w:shd w:fill="F0F6FF" w:val="clear"/>
            <w:tcMar>
              <w:top w:type="dxa" w:w="60"/>
              <w:left w:type="dxa" w:w="100"/>
              <w:bottom w:type="dxa" w:w="60"/>
              <w:right w:type="dxa" w:w="100"/>
            </w:tcMar>
            <w:vAlign w:val="center"/>
          </w:tcPr>
          <w:p>
            <w:r>
              <w:rPr>
                <w:rFonts w:ascii="Arial" w:cs="Arial" w:eastAsia="Arial" w:hAnsi="Arial"/>
                <w:b/>
                <w:bCs/>
                <w:sz w:val="18"/>
                <w:szCs w:val="18"/>
              </w:rPr>
              <w:t xml:space="preserve">Decision Tree &amp; Agentic Workflow</w:t>
            </w:r>
          </w:p>
        </w:tc>
        <w:tc>
          <w:tcPr>
            <w:tcW w:type="dxa" w:w="7640"/>
            <w:tcBorders>
              <w:top w:val="single" w:color="B0C4DE" w:sz="1"/>
              <w:left w:val="single" w:color="B0C4DE" w:sz="1"/>
              <w:bottom w:val="single" w:color="B0C4DE" w:sz="1"/>
              <w:right w:val="single" w:color="B0C4DE" w:sz="1"/>
            </w:tcBorders>
            <w:shd w:fill="F0F6FF" w:val="clear"/>
            <w:tcMar>
              <w:top w:type="dxa" w:w="60"/>
              <w:left w:type="dxa" w:w="100"/>
              <w:bottom w:type="dxa" w:w="60"/>
              <w:right w:type="dxa" w:w="100"/>
            </w:tcMar>
            <w:vAlign w:val="center"/>
          </w:tcPr>
          <w:p>
            <w:r>
              <w:rPr>
                <w:rFonts w:ascii="Arial" w:cs="Arial" w:eastAsia="Arial" w:hAnsi="Arial"/>
                <w:sz w:val="18"/>
                <w:szCs w:val="18"/>
              </w:rPr>
              <w:t xml:space="preserve">12-field intake form (3 tiers), decision cascade logic, dynamic checklist engine, 3 phased agentic variants, technology architecture</w:t>
            </w:r>
          </w:p>
        </w:tc>
        <w:tc>
          <w:tcPr>
            <w:tcW w:type="dxa" w:w="3000"/>
            <w:tcBorders>
              <w:top w:val="single" w:color="B0C4DE" w:sz="1"/>
              <w:left w:val="single" w:color="B0C4DE" w:sz="1"/>
              <w:bottom w:val="single" w:color="B0C4DE" w:sz="1"/>
              <w:right w:val="single" w:color="B0C4DE" w:sz="1"/>
            </w:tcBorders>
            <w:shd w:fill="F0F6FF" w:val="clear"/>
            <w:tcMar>
              <w:top w:type="dxa" w:w="60"/>
              <w:left w:type="dxa" w:w="100"/>
              <w:bottom w:type="dxa" w:w="60"/>
              <w:right w:type="dxa" w:w="100"/>
            </w:tcMar>
            <w:vAlign w:val="center"/>
          </w:tcPr>
          <w:p>
            <w:r>
              <w:rPr>
                <w:rFonts w:ascii="Arial" w:cs="Arial" w:eastAsia="Arial" w:hAnsi="Arial"/>
                <w:sz w:val="18"/>
                <w:szCs w:val="18"/>
              </w:rPr>
              <w:t xml:space="preserve">Logic Layer</w:t>
            </w:r>
          </w:p>
        </w:tc>
      </w:tr>
      <w:tr>
        <w:tc>
          <w:tcPr>
            <w:tcW w:type="dxa" w:w="280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b/>
                <w:bCs/>
                <w:sz w:val="18"/>
                <w:szCs w:val="18"/>
              </w:rPr>
              <w:t xml:space="preserve">Finance Readiness Checklist</w:t>
            </w:r>
          </w:p>
        </w:tc>
        <w:tc>
          <w:tcPr>
            <w:tcW w:type="dxa" w:w="764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sz w:val="18"/>
                <w:szCs w:val="18"/>
              </w:rPr>
              <w:t xml:space="preserve">443 line items (FRC-0001 to FRC-0443) across 12 workstreams with PRD taxonomy mapping, phase assignments, and dependency chains</w:t>
            </w:r>
          </w:p>
        </w:tc>
        <w:tc>
          <w:tcPr>
            <w:tcW w:type="dxa" w:w="300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sz w:val="18"/>
                <w:szCs w:val="18"/>
              </w:rPr>
              <w:t xml:space="preserve">Content Layer</w:t>
            </w:r>
          </w:p>
        </w:tc>
      </w:tr>
      <w:tr>
        <w:tc>
          <w:tcPr>
            <w:tcW w:type="dxa" w:w="2800"/>
            <w:tcBorders>
              <w:top w:val="single" w:color="B0C4DE" w:sz="1"/>
              <w:left w:val="single" w:color="B0C4DE" w:sz="1"/>
              <w:bottom w:val="single" w:color="B0C4DE" w:sz="1"/>
              <w:right w:val="single" w:color="B0C4DE" w:sz="1"/>
            </w:tcBorders>
            <w:shd w:fill="F0F6FF" w:val="clear"/>
            <w:tcMar>
              <w:top w:type="dxa" w:w="60"/>
              <w:left w:type="dxa" w:w="100"/>
              <w:bottom w:type="dxa" w:w="60"/>
              <w:right w:type="dxa" w:w="100"/>
            </w:tcMar>
            <w:vAlign w:val="center"/>
          </w:tcPr>
          <w:p>
            <w:r>
              <w:rPr>
                <w:rFonts w:ascii="Arial" w:cs="Arial" w:eastAsia="Arial" w:hAnsi="Arial"/>
                <w:b/>
                <w:bCs/>
                <w:sz w:val="18"/>
                <w:szCs w:val="18"/>
              </w:rPr>
              <w:t xml:space="preserve">PMO Dashboard Wireframe</w:t>
            </w:r>
          </w:p>
        </w:tc>
        <w:tc>
          <w:tcPr>
            <w:tcW w:type="dxa" w:w="7640"/>
            <w:tcBorders>
              <w:top w:val="single" w:color="B0C4DE" w:sz="1"/>
              <w:left w:val="single" w:color="B0C4DE" w:sz="1"/>
              <w:bottom w:val="single" w:color="B0C4DE" w:sz="1"/>
              <w:right w:val="single" w:color="B0C4DE" w:sz="1"/>
            </w:tcBorders>
            <w:shd w:fill="F0F6FF" w:val="clear"/>
            <w:tcMar>
              <w:top w:type="dxa" w:w="60"/>
              <w:left w:type="dxa" w:w="100"/>
              <w:bottom w:type="dxa" w:w="60"/>
              <w:right w:type="dxa" w:w="100"/>
            </w:tcMar>
            <w:vAlign w:val="center"/>
          </w:tcPr>
          <w:p>
            <w:r>
              <w:rPr>
                <w:rFonts w:ascii="Arial" w:cs="Arial" w:eastAsia="Arial" w:hAnsi="Arial"/>
                <w:sz w:val="18"/>
                <w:szCs w:val="18"/>
              </w:rPr>
              <w:t xml:space="preserve">Interactive 4-tab wireframe: Overview, Checklist, Risks, Timeline with deal context bar and KPI cards</w:t>
            </w:r>
          </w:p>
        </w:tc>
        <w:tc>
          <w:tcPr>
            <w:tcW w:type="dxa" w:w="3000"/>
            <w:tcBorders>
              <w:top w:val="single" w:color="B0C4DE" w:sz="1"/>
              <w:left w:val="single" w:color="B0C4DE" w:sz="1"/>
              <w:bottom w:val="single" w:color="B0C4DE" w:sz="1"/>
              <w:right w:val="single" w:color="B0C4DE" w:sz="1"/>
            </w:tcBorders>
            <w:shd w:fill="F0F6FF" w:val="clear"/>
            <w:tcMar>
              <w:top w:type="dxa" w:w="60"/>
              <w:left w:type="dxa" w:w="100"/>
              <w:bottom w:type="dxa" w:w="60"/>
              <w:right w:type="dxa" w:w="100"/>
            </w:tcMar>
            <w:vAlign w:val="center"/>
          </w:tcPr>
          <w:p>
            <w:r>
              <w:rPr>
                <w:rFonts w:ascii="Arial" w:cs="Arial" w:eastAsia="Arial" w:hAnsi="Arial"/>
                <w:sz w:val="18"/>
                <w:szCs w:val="18"/>
              </w:rPr>
              <w:t xml:space="preserve">Presentation Layer</w:t>
            </w:r>
          </w:p>
        </w:tc>
      </w:tr>
      <w:tr>
        <w:tc>
          <w:tcPr>
            <w:tcW w:type="dxa" w:w="280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b/>
                <w:bCs/>
                <w:sz w:val="18"/>
                <w:szCs w:val="18"/>
              </w:rPr>
              <w:t xml:space="preserve">Neon Data Model</w:t>
            </w:r>
          </w:p>
        </w:tc>
        <w:tc>
          <w:tcPr>
            <w:tcW w:type="dxa" w:w="764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sz w:val="18"/>
                <w:szCs w:val="18"/>
              </w:rPr>
              <w:t xml:space="preserve">9-table schema across 3 schemas (public, config, audit) with 18 JSONB columns, PostgreSQL triggers, materialized views, RLS</w:t>
            </w:r>
          </w:p>
        </w:tc>
        <w:tc>
          <w:tcPr>
            <w:tcW w:type="dxa" w:w="300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sz w:val="18"/>
                <w:szCs w:val="18"/>
              </w:rPr>
              <w:t xml:space="preserve">Data Layer</w:t>
            </w:r>
          </w:p>
        </w:tc>
      </w:tr>
    </w:tbl>
    <w:p>
      <w:pPr>
        <w:spacing w:after="80"/>
      </w:pPr>
    </w:p>
    <w:p>
      <w:pPr>
        <w:spacing w:after="120"/>
      </w:pPr>
      <w:r>
        <w:rPr>
          <w:rFonts w:ascii="Arial" w:cs="Arial" w:eastAsia="Arial" w:hAnsi="Arial"/>
          <w:b/>
          <w:bCs/>
          <w:sz w:val="20"/>
          <w:szCs w:val="20"/>
        </w:rPr>
        <w:t xml:space="preserve">Target Persona: </w:t>
      </w:r>
      <w:r>
        <w:rPr>
          <w:rFonts w:ascii="Arial" w:cs="Arial" w:eastAsia="Arial" w:hAnsi="Arial"/>
          <w:sz w:val="20"/>
          <w:szCs w:val="20"/>
        </w:rPr>
        <w:t xml:space="preserve">Consultant or PMO advisor on a deal team, managing post-close integration through Day 1 to Year 1.</w:t>
      </w:r>
    </w:p>
    <w:p>
      <w:pPr>
        <w:spacing w:after="120"/>
      </w:pPr>
      <w:r>
        <w:rPr>
          <w:rFonts w:ascii="Arial" w:cs="Arial" w:eastAsia="Arial" w:hAnsi="Arial"/>
          <w:b/>
          <w:bCs/>
          <w:sz w:val="20"/>
          <w:szCs w:val="20"/>
        </w:rPr>
        <w:t xml:space="preserve">MVP Scope: </w:t>
      </w:r>
      <w:r>
        <w:rPr>
          <w:rFonts w:ascii="Arial" w:cs="Arial" w:eastAsia="Arial" w:hAnsi="Arial"/>
          <w:sz w:val="20"/>
          <w:szCs w:val="20"/>
        </w:rPr>
        <w:t xml:space="preserve">Variant A (Reactive Monitor) — Single-agent, event-driven. All actions require human confirmation. 4–6 week development effort.</w:t>
      </w:r>
    </w:p>
    <w:p>
      <w:r>
        <w:br w:type="page"/>
      </w:r>
    </w:p>
    <w:p>
      <w:pPr>
        <w:pStyle w:val="Heading1"/>
      </w:pPr>
      <w:r>
        <w:rPr>
          <w:rFonts w:ascii="Arial" w:cs="Arial" w:eastAsia="Arial" w:hAnsi="Arial"/>
        </w:rPr>
        <w:t xml:space="preserve">2. Product Vision &amp; Problem Statement</w:t>
      </w:r>
    </w:p>
    <w:p>
      <w:pPr>
        <w:pStyle w:val="Heading2"/>
      </w:pPr>
      <w:r>
        <w:rPr>
          <w:rFonts w:ascii="Arial" w:cs="Arial" w:eastAsia="Arial" w:hAnsi="Arial"/>
        </w:rPr>
        <w:t xml:space="preserve">2.1 Problem Statement</w:t>
      </w:r>
    </w:p>
    <w:p>
      <w:pPr>
        <w:spacing w:after="120"/>
      </w:pPr>
      <w:r>
        <w:rPr>
          <w:rFonts w:ascii="Arial" w:cs="Arial" w:eastAsia="Arial" w:hAnsi="Arial"/>
          <w:sz w:val="20"/>
          <w:szCs w:val="20"/>
        </w:rPr>
        <w:t xml:space="preserve">M&amp;A integration management today relies on static spreadsheets, tribal knowledge, and manual tracking across hundreds of interdependent activities. This approach creates three critical problems: (1) Workflow generation requires days of manual configuration by experienced consultants, (2) Risk identification depends on individual expertise rather than systematic detection, and (3) Cross-border complexity multiplies manual effort without proportional increase in coverage.</w:t>
      </w:r>
    </w:p>
    <w:p>
      <w:pPr>
        <w:pStyle w:val="Heading2"/>
      </w:pPr>
      <w:r>
        <w:rPr>
          <w:rFonts w:ascii="Arial" w:cs="Arial" w:eastAsia="Arial" w:hAnsi="Arial"/>
        </w:rPr>
        <w:t xml:space="preserve">2.2 Product Vision</w:t>
      </w:r>
    </w:p>
    <w:p>
      <w:pPr>
        <w:spacing w:after="120"/>
      </w:pPr>
      <w:r>
        <w:rPr>
          <w:rFonts w:ascii="Arial" w:cs="Arial" w:eastAsia="Arial" w:hAnsi="Arial"/>
          <w:sz w:val="20"/>
          <w:szCs w:val="20"/>
        </w:rPr>
        <w:t xml:space="preserve">The M&amp;A Integration Engine transforms deal management from static spreadsheets into an adaptive, AI-driven workflow system. A consultant enters 5–12 intake fields and receives a fully configured, contextually-aware integration program within 30 seconds — complete with risk assessment, AI guidance prompts, and phase-appropriate milestones.</w:t>
      </w:r>
    </w:p>
    <w:p>
      <w:pPr>
        <w:pStyle w:val="Heading2"/>
      </w:pPr>
      <w:r>
        <w:rPr>
          <w:rFonts w:ascii="Arial" w:cs="Arial" w:eastAsia="Arial" w:hAnsi="Arial"/>
        </w:rPr>
        <w:t xml:space="preserve">2.3 Success Metrics (Phase 1 MVP)</w:t>
      </w:r>
    </w:p>
    <w:tbl>
      <w:tblPr>
        <w:tblW w:type="dxa" w:w="13440"/>
        <w:tblBorders>
          <w:top w:val="single" w:color="auto" w:sz="4"/>
          <w:left w:val="single" w:color="auto" w:sz="4"/>
          <w:bottom w:val="single" w:color="auto" w:sz="4"/>
          <w:right w:val="single" w:color="auto" w:sz="4"/>
          <w:insideH w:val="single" w:color="auto" w:sz="4"/>
          <w:insideV w:val="single" w:color="auto" w:sz="4"/>
        </w:tblBorders>
      </w:tblPr>
      <w:tblGrid>
        <w:gridCol w:w="2500"/>
        <w:gridCol w:w="7440"/>
        <w:gridCol w:w="3500"/>
      </w:tblGrid>
      <w:tr>
        <w:tc>
          <w:tcPr>
            <w:tcW w:type="dxa" w:w="2500"/>
            <w:tcBorders>
              <w:top w:val="single" w:color="B0C4DE" w:sz="1"/>
              <w:left w:val="single" w:color="B0C4DE" w:sz="1"/>
              <w:bottom w:val="single" w:color="B0C4DE" w:sz="1"/>
              <w:right w:val="single" w:color="B0C4DE" w:sz="1"/>
            </w:tcBorders>
            <w:shd w:fill="1E3A5F" w:val="clear"/>
            <w:tcMar>
              <w:top w:type="dxa" w:w="60"/>
              <w:left w:type="dxa" w:w="100"/>
              <w:bottom w:type="dxa" w:w="60"/>
              <w:right w:type="dxa" w:w="100"/>
            </w:tcMar>
            <w:vAlign w:val="center"/>
          </w:tcPr>
          <w:p>
            <w:r>
              <w:rPr>
                <w:rFonts w:ascii="Arial" w:cs="Arial" w:eastAsia="Arial" w:hAnsi="Arial"/>
                <w:b/>
                <w:bCs/>
                <w:color w:val="FFFFFF"/>
                <w:sz w:val="18"/>
                <w:szCs w:val="18"/>
              </w:rPr>
              <w:t xml:space="preserve">Metric</w:t>
            </w:r>
          </w:p>
        </w:tc>
        <w:tc>
          <w:tcPr>
            <w:tcW w:type="dxa" w:w="7440"/>
            <w:tcBorders>
              <w:top w:val="single" w:color="B0C4DE" w:sz="1"/>
              <w:left w:val="single" w:color="B0C4DE" w:sz="1"/>
              <w:bottom w:val="single" w:color="B0C4DE" w:sz="1"/>
              <w:right w:val="single" w:color="B0C4DE" w:sz="1"/>
            </w:tcBorders>
            <w:shd w:fill="1E3A5F" w:val="clear"/>
            <w:tcMar>
              <w:top w:type="dxa" w:w="60"/>
              <w:left w:type="dxa" w:w="100"/>
              <w:bottom w:type="dxa" w:w="60"/>
              <w:right w:type="dxa" w:w="100"/>
            </w:tcMar>
            <w:vAlign w:val="center"/>
          </w:tcPr>
          <w:p>
            <w:r>
              <w:rPr>
                <w:rFonts w:ascii="Arial" w:cs="Arial" w:eastAsia="Arial" w:hAnsi="Arial"/>
                <w:b/>
                <w:bCs/>
                <w:color w:val="FFFFFF"/>
                <w:sz w:val="18"/>
                <w:szCs w:val="18"/>
              </w:rPr>
              <w:t xml:space="preserve">Target</w:t>
            </w:r>
          </w:p>
        </w:tc>
        <w:tc>
          <w:tcPr>
            <w:tcW w:type="dxa" w:w="3500"/>
            <w:tcBorders>
              <w:top w:val="single" w:color="B0C4DE" w:sz="1"/>
              <w:left w:val="single" w:color="B0C4DE" w:sz="1"/>
              <w:bottom w:val="single" w:color="B0C4DE" w:sz="1"/>
              <w:right w:val="single" w:color="B0C4DE" w:sz="1"/>
            </w:tcBorders>
            <w:shd w:fill="1E3A5F" w:val="clear"/>
            <w:tcMar>
              <w:top w:type="dxa" w:w="60"/>
              <w:left w:type="dxa" w:w="100"/>
              <w:bottom w:type="dxa" w:w="60"/>
              <w:right w:type="dxa" w:w="100"/>
            </w:tcMar>
            <w:vAlign w:val="center"/>
          </w:tcPr>
          <w:p>
            <w:r>
              <w:rPr>
                <w:rFonts w:ascii="Arial" w:cs="Arial" w:eastAsia="Arial" w:hAnsi="Arial"/>
                <w:b/>
                <w:bCs/>
                <w:color w:val="FFFFFF"/>
                <w:sz w:val="18"/>
                <w:szCs w:val="18"/>
              </w:rPr>
              <w:t xml:space="preserve">Category</w:t>
            </w:r>
          </w:p>
        </w:tc>
      </w:tr>
      <w:tr>
        <w:tc>
          <w:tcPr>
            <w:tcW w:type="dxa" w:w="250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b/>
                <w:bCs/>
                <w:sz w:val="18"/>
                <w:szCs w:val="18"/>
              </w:rPr>
              <w:t xml:space="preserve">Time-to-First-Workflow</w:t>
            </w:r>
          </w:p>
        </w:tc>
        <w:tc>
          <w:tcPr>
            <w:tcW w:type="dxa" w:w="744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sz w:val="18"/>
                <w:szCs w:val="18"/>
              </w:rPr>
              <w:t xml:space="preserve">&lt; 30 seconds from intake submission to complete checklist generation</w:t>
            </w:r>
          </w:p>
        </w:tc>
        <w:tc>
          <w:tcPr>
            <w:tcW w:type="dxa" w:w="350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sz w:val="18"/>
                <w:szCs w:val="18"/>
              </w:rPr>
              <w:t xml:space="preserve">Performance</w:t>
            </w:r>
          </w:p>
        </w:tc>
      </w:tr>
      <w:tr>
        <w:tc>
          <w:tcPr>
            <w:tcW w:type="dxa" w:w="2500"/>
            <w:tcBorders>
              <w:top w:val="single" w:color="B0C4DE" w:sz="1"/>
              <w:left w:val="single" w:color="B0C4DE" w:sz="1"/>
              <w:bottom w:val="single" w:color="B0C4DE" w:sz="1"/>
              <w:right w:val="single" w:color="B0C4DE" w:sz="1"/>
            </w:tcBorders>
            <w:shd w:fill="F0F6FF" w:val="clear"/>
            <w:tcMar>
              <w:top w:type="dxa" w:w="60"/>
              <w:left w:type="dxa" w:w="100"/>
              <w:bottom w:type="dxa" w:w="60"/>
              <w:right w:type="dxa" w:w="100"/>
            </w:tcMar>
            <w:vAlign w:val="center"/>
          </w:tcPr>
          <w:p>
            <w:r>
              <w:rPr>
                <w:rFonts w:ascii="Arial" w:cs="Arial" w:eastAsia="Arial" w:hAnsi="Arial"/>
                <w:b/>
                <w:bCs/>
                <w:sz w:val="18"/>
                <w:szCs w:val="18"/>
              </w:rPr>
              <w:t xml:space="preserve">Checklist Accuracy</w:t>
            </w:r>
          </w:p>
        </w:tc>
        <w:tc>
          <w:tcPr>
            <w:tcW w:type="dxa" w:w="7440"/>
            <w:tcBorders>
              <w:top w:val="single" w:color="B0C4DE" w:sz="1"/>
              <w:left w:val="single" w:color="B0C4DE" w:sz="1"/>
              <w:bottom w:val="single" w:color="B0C4DE" w:sz="1"/>
              <w:right w:val="single" w:color="B0C4DE" w:sz="1"/>
            </w:tcBorders>
            <w:shd w:fill="F0F6FF" w:val="clear"/>
            <w:tcMar>
              <w:top w:type="dxa" w:w="60"/>
              <w:left w:type="dxa" w:w="100"/>
              <w:bottom w:type="dxa" w:w="60"/>
              <w:right w:type="dxa" w:w="100"/>
            </w:tcMar>
            <w:vAlign w:val="center"/>
          </w:tcPr>
          <w:p>
            <w:r>
              <w:rPr>
                <w:rFonts w:ascii="Arial" w:cs="Arial" w:eastAsia="Arial" w:hAnsi="Arial"/>
                <w:sz w:val="18"/>
                <w:szCs w:val="18"/>
              </w:rPr>
              <w:t xml:space="preserve">&gt; 90% of generated items validated as relevant by deal team review</w:t>
            </w:r>
          </w:p>
        </w:tc>
        <w:tc>
          <w:tcPr>
            <w:tcW w:type="dxa" w:w="3500"/>
            <w:tcBorders>
              <w:top w:val="single" w:color="B0C4DE" w:sz="1"/>
              <w:left w:val="single" w:color="B0C4DE" w:sz="1"/>
              <w:bottom w:val="single" w:color="B0C4DE" w:sz="1"/>
              <w:right w:val="single" w:color="B0C4DE" w:sz="1"/>
            </w:tcBorders>
            <w:shd w:fill="F0F6FF" w:val="clear"/>
            <w:tcMar>
              <w:top w:type="dxa" w:w="60"/>
              <w:left w:type="dxa" w:w="100"/>
              <w:bottom w:type="dxa" w:w="60"/>
              <w:right w:type="dxa" w:w="100"/>
            </w:tcMar>
            <w:vAlign w:val="center"/>
          </w:tcPr>
          <w:p>
            <w:r>
              <w:rPr>
                <w:rFonts w:ascii="Arial" w:cs="Arial" w:eastAsia="Arial" w:hAnsi="Arial"/>
                <w:sz w:val="18"/>
                <w:szCs w:val="18"/>
              </w:rPr>
              <w:t xml:space="preserve">Quality</w:t>
            </w:r>
          </w:p>
        </w:tc>
      </w:tr>
      <w:tr>
        <w:tc>
          <w:tcPr>
            <w:tcW w:type="dxa" w:w="250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b/>
                <w:bCs/>
                <w:sz w:val="18"/>
                <w:szCs w:val="18"/>
              </w:rPr>
              <w:t xml:space="preserve">Risk Detection Rate</w:t>
            </w:r>
          </w:p>
        </w:tc>
        <w:tc>
          <w:tcPr>
            <w:tcW w:type="dxa" w:w="744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sz w:val="18"/>
                <w:szCs w:val="18"/>
              </w:rPr>
              <w:t xml:space="preserve">&gt; 85% of known risks surfaced by automated risk scanner within 24 hours</w:t>
            </w:r>
          </w:p>
        </w:tc>
        <w:tc>
          <w:tcPr>
            <w:tcW w:type="dxa" w:w="350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sz w:val="18"/>
                <w:szCs w:val="18"/>
              </w:rPr>
              <w:t xml:space="preserve">AI Quality</w:t>
            </w:r>
          </w:p>
        </w:tc>
      </w:tr>
      <w:tr>
        <w:tc>
          <w:tcPr>
            <w:tcW w:type="dxa" w:w="2500"/>
            <w:tcBorders>
              <w:top w:val="single" w:color="B0C4DE" w:sz="1"/>
              <w:left w:val="single" w:color="B0C4DE" w:sz="1"/>
              <w:bottom w:val="single" w:color="B0C4DE" w:sz="1"/>
              <w:right w:val="single" w:color="B0C4DE" w:sz="1"/>
            </w:tcBorders>
            <w:shd w:fill="F0F6FF" w:val="clear"/>
            <w:tcMar>
              <w:top w:type="dxa" w:w="60"/>
              <w:left w:type="dxa" w:w="100"/>
              <w:bottom w:type="dxa" w:w="60"/>
              <w:right w:type="dxa" w:w="100"/>
            </w:tcMar>
            <w:vAlign w:val="center"/>
          </w:tcPr>
          <w:p>
            <w:r>
              <w:rPr>
                <w:rFonts w:ascii="Arial" w:cs="Arial" w:eastAsia="Arial" w:hAnsi="Arial"/>
                <w:b/>
                <w:bCs/>
                <w:sz w:val="18"/>
                <w:szCs w:val="18"/>
              </w:rPr>
              <w:t xml:space="preserve">Dashboard Adoption</w:t>
            </w:r>
          </w:p>
        </w:tc>
        <w:tc>
          <w:tcPr>
            <w:tcW w:type="dxa" w:w="7440"/>
            <w:tcBorders>
              <w:top w:val="single" w:color="B0C4DE" w:sz="1"/>
              <w:left w:val="single" w:color="B0C4DE" w:sz="1"/>
              <w:bottom w:val="single" w:color="B0C4DE" w:sz="1"/>
              <w:right w:val="single" w:color="B0C4DE" w:sz="1"/>
            </w:tcBorders>
            <w:shd w:fill="F0F6FF" w:val="clear"/>
            <w:tcMar>
              <w:top w:type="dxa" w:w="60"/>
              <w:left w:type="dxa" w:w="100"/>
              <w:bottom w:type="dxa" w:w="60"/>
              <w:right w:type="dxa" w:w="100"/>
            </w:tcMar>
            <w:vAlign w:val="center"/>
          </w:tcPr>
          <w:p>
            <w:r>
              <w:rPr>
                <w:rFonts w:ascii="Arial" w:cs="Arial" w:eastAsia="Arial" w:hAnsi="Arial"/>
                <w:sz w:val="18"/>
                <w:szCs w:val="18"/>
              </w:rPr>
              <w:t xml:space="preserve">&gt; 3 sessions/week per active deal team member</w:t>
            </w:r>
          </w:p>
        </w:tc>
        <w:tc>
          <w:tcPr>
            <w:tcW w:type="dxa" w:w="3500"/>
            <w:tcBorders>
              <w:top w:val="single" w:color="B0C4DE" w:sz="1"/>
              <w:left w:val="single" w:color="B0C4DE" w:sz="1"/>
              <w:bottom w:val="single" w:color="B0C4DE" w:sz="1"/>
              <w:right w:val="single" w:color="B0C4DE" w:sz="1"/>
            </w:tcBorders>
            <w:shd w:fill="F0F6FF" w:val="clear"/>
            <w:tcMar>
              <w:top w:type="dxa" w:w="60"/>
              <w:left w:type="dxa" w:w="100"/>
              <w:bottom w:type="dxa" w:w="60"/>
              <w:right w:type="dxa" w:w="100"/>
            </w:tcMar>
            <w:vAlign w:val="center"/>
          </w:tcPr>
          <w:p>
            <w:r>
              <w:rPr>
                <w:rFonts w:ascii="Arial" w:cs="Arial" w:eastAsia="Arial" w:hAnsi="Arial"/>
                <w:sz w:val="18"/>
                <w:szCs w:val="18"/>
              </w:rPr>
              <w:t xml:space="preserve">Engagement</w:t>
            </w:r>
          </w:p>
        </w:tc>
      </w:tr>
      <w:tr>
        <w:tc>
          <w:tcPr>
            <w:tcW w:type="dxa" w:w="250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b/>
                <w:bCs/>
                <w:sz w:val="18"/>
                <w:szCs w:val="18"/>
              </w:rPr>
              <w:t xml:space="preserve">Manual Effort Reduction</w:t>
            </w:r>
          </w:p>
        </w:tc>
        <w:tc>
          <w:tcPr>
            <w:tcW w:type="dxa" w:w="744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sz w:val="18"/>
                <w:szCs w:val="18"/>
              </w:rPr>
              <w:t xml:space="preserve">&gt; 40% reduction in PMO setup time vs. manual spreadsheet approach</w:t>
            </w:r>
          </w:p>
        </w:tc>
        <w:tc>
          <w:tcPr>
            <w:tcW w:type="dxa" w:w="350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sz w:val="18"/>
                <w:szCs w:val="18"/>
              </w:rPr>
              <w:t xml:space="preserve">Efficiency</w:t>
            </w:r>
          </w:p>
        </w:tc>
      </w:tr>
    </w:tbl>
    <w:p>
      <w:r>
        <w:br w:type="page"/>
      </w:r>
    </w:p>
    <w:p>
      <w:pPr>
        <w:pStyle w:val="Heading1"/>
      </w:pPr>
      <w:r>
        <w:rPr>
          <w:rFonts w:ascii="Arial" w:cs="Arial" w:eastAsia="Arial" w:hAnsi="Arial"/>
        </w:rPr>
        <w:t xml:space="preserve">3. Functional Requirements</w:t>
      </w:r>
    </w:p>
    <w:p>
      <w:pPr>
        <w:spacing w:after="120"/>
      </w:pPr>
      <w:r>
        <w:rPr>
          <w:rFonts w:ascii="Arial" w:cs="Arial" w:eastAsia="Arial" w:hAnsi="Arial"/>
          <w:sz w:val="20"/>
          <w:szCs w:val="20"/>
        </w:rPr>
        <w:t xml:space="preserve">All functional requirements are prioritized as Phase 1 (MVP), Phase 2 (Proactive Advisor), or Phase 3 (Autonomous Orchestrator). Phase 1 requirements must be complete before prototype deployment.</w:t>
      </w:r>
    </w:p>
    <w:tbl>
      <w:tblPr>
        <w:tblW w:type="dxa" w:w="13440"/>
        <w:tblBorders>
          <w:top w:val="single" w:color="auto" w:sz="4"/>
          <w:left w:val="single" w:color="auto" w:sz="4"/>
          <w:bottom w:val="single" w:color="auto" w:sz="4"/>
          <w:right w:val="single" w:color="auto" w:sz="4"/>
          <w:insideH w:val="single" w:color="auto" w:sz="4"/>
          <w:insideV w:val="single" w:color="auto" w:sz="4"/>
        </w:tblBorders>
      </w:tblPr>
      <w:tblGrid>
        <w:gridCol w:w="900"/>
        <w:gridCol w:w="2600"/>
        <w:gridCol w:w="6340"/>
        <w:gridCol w:w="1200"/>
        <w:gridCol w:w="2400"/>
      </w:tblGrid>
      <w:tr>
        <w:tc>
          <w:tcPr>
            <w:tcW w:type="dxa" w:w="900"/>
            <w:tcBorders>
              <w:top w:val="single" w:color="B0C4DE" w:sz="1"/>
              <w:left w:val="single" w:color="B0C4DE" w:sz="1"/>
              <w:bottom w:val="single" w:color="B0C4DE" w:sz="1"/>
              <w:right w:val="single" w:color="B0C4DE" w:sz="1"/>
            </w:tcBorders>
            <w:shd w:fill="1E3A5F" w:val="clear"/>
            <w:tcMar>
              <w:top w:type="dxa" w:w="60"/>
              <w:left w:type="dxa" w:w="100"/>
              <w:bottom w:type="dxa" w:w="60"/>
              <w:right w:type="dxa" w:w="100"/>
            </w:tcMar>
            <w:vAlign w:val="center"/>
          </w:tcPr>
          <w:p>
            <w:r>
              <w:rPr>
                <w:rFonts w:ascii="Arial" w:cs="Arial" w:eastAsia="Arial" w:hAnsi="Arial"/>
                <w:b/>
                <w:bCs/>
                <w:color w:val="FFFFFF"/>
                <w:sz w:val="18"/>
                <w:szCs w:val="18"/>
              </w:rPr>
              <w:t xml:space="preserve">ID</w:t>
            </w:r>
          </w:p>
        </w:tc>
        <w:tc>
          <w:tcPr>
            <w:tcW w:type="dxa" w:w="2600"/>
            <w:tcBorders>
              <w:top w:val="single" w:color="B0C4DE" w:sz="1"/>
              <w:left w:val="single" w:color="B0C4DE" w:sz="1"/>
              <w:bottom w:val="single" w:color="B0C4DE" w:sz="1"/>
              <w:right w:val="single" w:color="B0C4DE" w:sz="1"/>
            </w:tcBorders>
            <w:shd w:fill="1E3A5F" w:val="clear"/>
            <w:tcMar>
              <w:top w:type="dxa" w:w="60"/>
              <w:left w:type="dxa" w:w="100"/>
              <w:bottom w:type="dxa" w:w="60"/>
              <w:right w:type="dxa" w:w="100"/>
            </w:tcMar>
            <w:vAlign w:val="center"/>
          </w:tcPr>
          <w:p>
            <w:r>
              <w:rPr>
                <w:rFonts w:ascii="Arial" w:cs="Arial" w:eastAsia="Arial" w:hAnsi="Arial"/>
                <w:b/>
                <w:bCs/>
                <w:color w:val="FFFFFF"/>
                <w:sz w:val="18"/>
                <w:szCs w:val="18"/>
              </w:rPr>
              <w:t xml:space="preserve">Requirement</w:t>
            </w:r>
          </w:p>
        </w:tc>
        <w:tc>
          <w:tcPr>
            <w:tcW w:type="dxa" w:w="6340"/>
            <w:tcBorders>
              <w:top w:val="single" w:color="B0C4DE" w:sz="1"/>
              <w:left w:val="single" w:color="B0C4DE" w:sz="1"/>
              <w:bottom w:val="single" w:color="B0C4DE" w:sz="1"/>
              <w:right w:val="single" w:color="B0C4DE" w:sz="1"/>
            </w:tcBorders>
            <w:shd w:fill="1E3A5F" w:val="clear"/>
            <w:tcMar>
              <w:top w:type="dxa" w:w="60"/>
              <w:left w:type="dxa" w:w="100"/>
              <w:bottom w:type="dxa" w:w="60"/>
              <w:right w:type="dxa" w:w="100"/>
            </w:tcMar>
            <w:vAlign w:val="center"/>
          </w:tcPr>
          <w:p>
            <w:r>
              <w:rPr>
                <w:rFonts w:ascii="Arial" w:cs="Arial" w:eastAsia="Arial" w:hAnsi="Arial"/>
                <w:b/>
                <w:bCs/>
                <w:color w:val="FFFFFF"/>
                <w:sz w:val="18"/>
                <w:szCs w:val="18"/>
              </w:rPr>
              <w:t xml:space="preserve">Description</w:t>
            </w:r>
          </w:p>
        </w:tc>
        <w:tc>
          <w:tcPr>
            <w:tcW w:type="dxa" w:w="1200"/>
            <w:tcBorders>
              <w:top w:val="single" w:color="B0C4DE" w:sz="1"/>
              <w:left w:val="single" w:color="B0C4DE" w:sz="1"/>
              <w:bottom w:val="single" w:color="B0C4DE" w:sz="1"/>
              <w:right w:val="single" w:color="B0C4DE" w:sz="1"/>
            </w:tcBorders>
            <w:shd w:fill="1E3A5F" w:val="clear"/>
            <w:tcMar>
              <w:top w:type="dxa" w:w="60"/>
              <w:left w:type="dxa" w:w="100"/>
              <w:bottom w:type="dxa" w:w="60"/>
              <w:right w:type="dxa" w:w="100"/>
            </w:tcMar>
            <w:vAlign w:val="center"/>
          </w:tcPr>
          <w:p>
            <w:r>
              <w:rPr>
                <w:rFonts w:ascii="Arial" w:cs="Arial" w:eastAsia="Arial" w:hAnsi="Arial"/>
                <w:b/>
                <w:bCs/>
                <w:color w:val="FFFFFF"/>
                <w:sz w:val="18"/>
                <w:szCs w:val="18"/>
              </w:rPr>
              <w:t xml:space="preserve">Phase</w:t>
            </w:r>
          </w:p>
        </w:tc>
        <w:tc>
          <w:tcPr>
            <w:tcW w:type="dxa" w:w="2400"/>
            <w:tcBorders>
              <w:top w:val="single" w:color="B0C4DE" w:sz="1"/>
              <w:left w:val="single" w:color="B0C4DE" w:sz="1"/>
              <w:bottom w:val="single" w:color="B0C4DE" w:sz="1"/>
              <w:right w:val="single" w:color="B0C4DE" w:sz="1"/>
            </w:tcBorders>
            <w:shd w:fill="1E3A5F" w:val="clear"/>
            <w:tcMar>
              <w:top w:type="dxa" w:w="60"/>
              <w:left w:type="dxa" w:w="100"/>
              <w:bottom w:type="dxa" w:w="60"/>
              <w:right w:type="dxa" w:w="100"/>
            </w:tcMar>
            <w:vAlign w:val="center"/>
          </w:tcPr>
          <w:p>
            <w:r>
              <w:rPr>
                <w:rFonts w:ascii="Arial" w:cs="Arial" w:eastAsia="Arial" w:hAnsi="Arial"/>
                <w:b/>
                <w:bCs/>
                <w:color w:val="FFFFFF"/>
                <w:sz w:val="18"/>
                <w:szCs w:val="18"/>
              </w:rPr>
              <w:t xml:space="preserve">Source</w:t>
            </w:r>
          </w:p>
        </w:tc>
      </w:tr>
      <w:tr>
        <w:tc>
          <w:tcPr>
            <w:tcW w:type="dxa" w:w="90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b/>
                <w:bCs/>
                <w:sz w:val="18"/>
                <w:szCs w:val="18"/>
              </w:rPr>
              <w:t xml:space="preserve">FR-1</w:t>
            </w:r>
          </w:p>
        </w:tc>
        <w:tc>
          <w:tcPr>
            <w:tcW w:type="dxa" w:w="260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b/>
                <w:bCs/>
                <w:sz w:val="18"/>
                <w:szCs w:val="18"/>
              </w:rPr>
              <w:t xml:space="preserve">Deal Intake Form</w:t>
            </w:r>
          </w:p>
        </w:tc>
        <w:tc>
          <w:tcPr>
            <w:tcW w:type="dxa" w:w="634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sz w:val="18"/>
                <w:szCs w:val="18"/>
              </w:rPr>
              <w:t xml:space="preserve">12-field form organized in 3 tiers (Gate/Configuration/Enrichment). Tier 1 (5 fields) required to generate any workflow. Tier 2 captured within first session. Tier 3 collected progressively.</w:t>
            </w:r>
          </w:p>
        </w:tc>
        <w:tc>
          <w:tcPr>
            <w:tcW w:type="dxa" w:w="120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color w:val="10B981"/>
                <w:sz w:val="18"/>
                <w:szCs w:val="18"/>
              </w:rPr>
              <w:t xml:space="preserve">Phase 1</w:t>
            </w:r>
          </w:p>
        </w:tc>
        <w:tc>
          <w:tcPr>
            <w:tcW w:type="dxa" w:w="240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sz w:val="18"/>
                <w:szCs w:val="18"/>
              </w:rPr>
              <w:t xml:space="preserve">Decision Tree §2</w:t>
            </w:r>
          </w:p>
        </w:tc>
      </w:tr>
      <w:tr>
        <w:tc>
          <w:tcPr>
            <w:tcW w:type="dxa" w:w="900"/>
            <w:tcBorders>
              <w:top w:val="single" w:color="B0C4DE" w:sz="1"/>
              <w:left w:val="single" w:color="B0C4DE" w:sz="1"/>
              <w:bottom w:val="single" w:color="B0C4DE" w:sz="1"/>
              <w:right w:val="single" w:color="B0C4DE" w:sz="1"/>
            </w:tcBorders>
            <w:shd w:fill="F0F6FF" w:val="clear"/>
            <w:tcMar>
              <w:top w:type="dxa" w:w="60"/>
              <w:left w:type="dxa" w:w="100"/>
              <w:bottom w:type="dxa" w:w="60"/>
              <w:right w:type="dxa" w:w="100"/>
            </w:tcMar>
            <w:vAlign w:val="center"/>
          </w:tcPr>
          <w:p>
            <w:r>
              <w:rPr>
                <w:rFonts w:ascii="Arial" w:cs="Arial" w:eastAsia="Arial" w:hAnsi="Arial"/>
                <w:b/>
                <w:bCs/>
                <w:sz w:val="18"/>
                <w:szCs w:val="18"/>
              </w:rPr>
              <w:t xml:space="preserve">FR-2</w:t>
            </w:r>
          </w:p>
        </w:tc>
        <w:tc>
          <w:tcPr>
            <w:tcW w:type="dxa" w:w="2600"/>
            <w:tcBorders>
              <w:top w:val="single" w:color="B0C4DE" w:sz="1"/>
              <w:left w:val="single" w:color="B0C4DE" w:sz="1"/>
              <w:bottom w:val="single" w:color="B0C4DE" w:sz="1"/>
              <w:right w:val="single" w:color="B0C4DE" w:sz="1"/>
            </w:tcBorders>
            <w:shd w:fill="F0F6FF" w:val="clear"/>
            <w:tcMar>
              <w:top w:type="dxa" w:w="60"/>
              <w:left w:type="dxa" w:w="100"/>
              <w:bottom w:type="dxa" w:w="60"/>
              <w:right w:type="dxa" w:w="100"/>
            </w:tcMar>
            <w:vAlign w:val="center"/>
          </w:tcPr>
          <w:p>
            <w:r>
              <w:rPr>
                <w:rFonts w:ascii="Arial" w:cs="Arial" w:eastAsia="Arial" w:hAnsi="Arial"/>
                <w:b/>
                <w:bCs/>
                <w:sz w:val="18"/>
                <w:szCs w:val="18"/>
              </w:rPr>
              <w:t xml:space="preserve">Dynamic Workflow Generation</w:t>
            </w:r>
          </w:p>
        </w:tc>
        <w:tc>
          <w:tcPr>
            <w:tcW w:type="dxa" w:w="6340"/>
            <w:tcBorders>
              <w:top w:val="single" w:color="B0C4DE" w:sz="1"/>
              <w:left w:val="single" w:color="B0C4DE" w:sz="1"/>
              <w:bottom w:val="single" w:color="B0C4DE" w:sz="1"/>
              <w:right w:val="single" w:color="B0C4DE" w:sz="1"/>
            </w:tcBorders>
            <w:shd w:fill="F0F6FF" w:val="clear"/>
            <w:tcMar>
              <w:top w:type="dxa" w:w="60"/>
              <w:left w:type="dxa" w:w="100"/>
              <w:bottom w:type="dxa" w:w="60"/>
              <w:right w:type="dxa" w:w="100"/>
            </w:tcMar>
            <w:vAlign w:val="center"/>
          </w:tcPr>
          <w:p>
            <w:r>
              <w:rPr>
                <w:rFonts w:ascii="Arial" w:cs="Arial" w:eastAsia="Arial" w:hAnsi="Arial"/>
                <w:sz w:val="18"/>
                <w:szCs w:val="18"/>
              </w:rPr>
              <w:t xml:space="preserve">Intake responses cascade through decision tree to activate/deactivate 12 workstreams. Generate checklist of up to 443 items with phases, priorities, dependencies, and risk flags within 30 seconds.</w:t>
            </w:r>
          </w:p>
        </w:tc>
        <w:tc>
          <w:tcPr>
            <w:tcW w:type="dxa" w:w="1200"/>
            <w:tcBorders>
              <w:top w:val="single" w:color="B0C4DE" w:sz="1"/>
              <w:left w:val="single" w:color="B0C4DE" w:sz="1"/>
              <w:bottom w:val="single" w:color="B0C4DE" w:sz="1"/>
              <w:right w:val="single" w:color="B0C4DE" w:sz="1"/>
            </w:tcBorders>
            <w:shd w:fill="F0F6FF" w:val="clear"/>
            <w:tcMar>
              <w:top w:type="dxa" w:w="60"/>
              <w:left w:type="dxa" w:w="100"/>
              <w:bottom w:type="dxa" w:w="60"/>
              <w:right w:type="dxa" w:w="100"/>
            </w:tcMar>
            <w:vAlign w:val="center"/>
          </w:tcPr>
          <w:p>
            <w:r>
              <w:rPr>
                <w:rFonts w:ascii="Arial" w:cs="Arial" w:eastAsia="Arial" w:hAnsi="Arial"/>
                <w:color w:val="10B981"/>
                <w:sz w:val="18"/>
                <w:szCs w:val="18"/>
              </w:rPr>
              <w:t xml:space="preserve">Phase 1</w:t>
            </w:r>
          </w:p>
        </w:tc>
        <w:tc>
          <w:tcPr>
            <w:tcW w:type="dxa" w:w="2400"/>
            <w:tcBorders>
              <w:top w:val="single" w:color="B0C4DE" w:sz="1"/>
              <w:left w:val="single" w:color="B0C4DE" w:sz="1"/>
              <w:bottom w:val="single" w:color="B0C4DE" w:sz="1"/>
              <w:right w:val="single" w:color="B0C4DE" w:sz="1"/>
            </w:tcBorders>
            <w:shd w:fill="F0F6FF" w:val="clear"/>
            <w:tcMar>
              <w:top w:type="dxa" w:w="60"/>
              <w:left w:type="dxa" w:w="100"/>
              <w:bottom w:type="dxa" w:w="60"/>
              <w:right w:type="dxa" w:w="100"/>
            </w:tcMar>
            <w:vAlign w:val="center"/>
          </w:tcPr>
          <w:p>
            <w:r>
              <w:rPr>
                <w:rFonts w:ascii="Arial" w:cs="Arial" w:eastAsia="Arial" w:hAnsi="Arial"/>
                <w:sz w:val="18"/>
                <w:szCs w:val="18"/>
              </w:rPr>
              <w:t xml:space="preserve">Decision Tree §3</w:t>
            </w:r>
          </w:p>
        </w:tc>
      </w:tr>
      <w:tr>
        <w:tc>
          <w:tcPr>
            <w:tcW w:type="dxa" w:w="90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b/>
                <w:bCs/>
                <w:sz w:val="18"/>
                <w:szCs w:val="18"/>
              </w:rPr>
              <w:t xml:space="preserve">FR-3</w:t>
            </w:r>
          </w:p>
        </w:tc>
        <w:tc>
          <w:tcPr>
            <w:tcW w:type="dxa" w:w="260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b/>
                <w:bCs/>
                <w:sz w:val="18"/>
                <w:szCs w:val="18"/>
              </w:rPr>
              <w:t xml:space="preserve">Conditional Task Activation</w:t>
            </w:r>
          </w:p>
        </w:tc>
        <w:tc>
          <w:tcPr>
            <w:tcW w:type="dxa" w:w="634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sz w:val="18"/>
                <w:szCs w:val="18"/>
              </w:rPr>
              <w:t xml:space="preserve">Deal structure sets baseline scope; integration model adjusts depth; cross-border adds jurisdiction overlays; TSA/shared services fine-tunes individual items. Grey-out logic for transferred services.</w:t>
            </w:r>
          </w:p>
        </w:tc>
        <w:tc>
          <w:tcPr>
            <w:tcW w:type="dxa" w:w="120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color w:val="10B981"/>
                <w:sz w:val="18"/>
                <w:szCs w:val="18"/>
              </w:rPr>
              <w:t xml:space="preserve">Phase 1</w:t>
            </w:r>
          </w:p>
        </w:tc>
        <w:tc>
          <w:tcPr>
            <w:tcW w:type="dxa" w:w="240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sz w:val="18"/>
                <w:szCs w:val="18"/>
              </w:rPr>
              <w:t xml:space="preserve">Decision Tree §3.2</w:t>
            </w:r>
          </w:p>
        </w:tc>
      </w:tr>
      <w:tr>
        <w:tc>
          <w:tcPr>
            <w:tcW w:type="dxa" w:w="900"/>
            <w:tcBorders>
              <w:top w:val="single" w:color="B0C4DE" w:sz="1"/>
              <w:left w:val="single" w:color="B0C4DE" w:sz="1"/>
              <w:bottom w:val="single" w:color="B0C4DE" w:sz="1"/>
              <w:right w:val="single" w:color="B0C4DE" w:sz="1"/>
            </w:tcBorders>
            <w:shd w:fill="F0F6FF" w:val="clear"/>
            <w:tcMar>
              <w:top w:type="dxa" w:w="60"/>
              <w:left w:type="dxa" w:w="100"/>
              <w:bottom w:type="dxa" w:w="60"/>
              <w:right w:type="dxa" w:w="100"/>
            </w:tcMar>
            <w:vAlign w:val="center"/>
          </w:tcPr>
          <w:p>
            <w:r>
              <w:rPr>
                <w:rFonts w:ascii="Arial" w:cs="Arial" w:eastAsia="Arial" w:hAnsi="Arial"/>
                <w:b/>
                <w:bCs/>
                <w:sz w:val="18"/>
                <w:szCs w:val="18"/>
              </w:rPr>
              <w:t xml:space="preserve">FR-4</w:t>
            </w:r>
          </w:p>
        </w:tc>
        <w:tc>
          <w:tcPr>
            <w:tcW w:type="dxa" w:w="2600"/>
            <w:tcBorders>
              <w:top w:val="single" w:color="B0C4DE" w:sz="1"/>
              <w:left w:val="single" w:color="B0C4DE" w:sz="1"/>
              <w:bottom w:val="single" w:color="B0C4DE" w:sz="1"/>
              <w:right w:val="single" w:color="B0C4DE" w:sz="1"/>
            </w:tcBorders>
            <w:shd w:fill="F0F6FF" w:val="clear"/>
            <w:tcMar>
              <w:top w:type="dxa" w:w="60"/>
              <w:left w:type="dxa" w:w="100"/>
              <w:bottom w:type="dxa" w:w="60"/>
              <w:right w:type="dxa" w:w="100"/>
            </w:tcMar>
            <w:vAlign w:val="center"/>
          </w:tcPr>
          <w:p>
            <w:r>
              <w:rPr>
                <w:rFonts w:ascii="Arial" w:cs="Arial" w:eastAsia="Arial" w:hAnsi="Arial"/>
                <w:b/>
                <w:bCs/>
                <w:sz w:val="18"/>
                <w:szCs w:val="18"/>
              </w:rPr>
              <w:t xml:space="preserve">Phase &amp; Milestone Calculation</w:t>
            </w:r>
          </w:p>
        </w:tc>
        <w:tc>
          <w:tcPr>
            <w:tcW w:type="dxa" w:w="6340"/>
            <w:tcBorders>
              <w:top w:val="single" w:color="B0C4DE" w:sz="1"/>
              <w:left w:val="single" w:color="B0C4DE" w:sz="1"/>
              <w:bottom w:val="single" w:color="B0C4DE" w:sz="1"/>
              <w:right w:val="single" w:color="B0C4DE" w:sz="1"/>
            </w:tcBorders>
            <w:shd w:fill="F0F6FF" w:val="clear"/>
            <w:tcMar>
              <w:top w:type="dxa" w:w="60"/>
              <w:left w:type="dxa" w:w="100"/>
              <w:bottom w:type="dxa" w:w="60"/>
              <w:right w:type="dxa" w:w="100"/>
            </w:tcMar>
            <w:vAlign w:val="center"/>
          </w:tcPr>
          <w:p>
            <w:r>
              <w:rPr>
                <w:rFonts w:ascii="Arial" w:cs="Arial" w:eastAsia="Arial" w:hAnsi="Arial"/>
                <w:sz w:val="18"/>
                <w:szCs w:val="18"/>
              </w:rPr>
              <w:t xml:space="preserve">All milestones (Day 1, Day 30, Day 60, Day 90, Year 1) calculate from close date. Phase assignment drives urgency scoring and critical-path highlighting.</w:t>
            </w:r>
          </w:p>
        </w:tc>
        <w:tc>
          <w:tcPr>
            <w:tcW w:type="dxa" w:w="1200"/>
            <w:tcBorders>
              <w:top w:val="single" w:color="B0C4DE" w:sz="1"/>
              <w:left w:val="single" w:color="B0C4DE" w:sz="1"/>
              <w:bottom w:val="single" w:color="B0C4DE" w:sz="1"/>
              <w:right w:val="single" w:color="B0C4DE" w:sz="1"/>
            </w:tcBorders>
            <w:shd w:fill="F0F6FF" w:val="clear"/>
            <w:tcMar>
              <w:top w:type="dxa" w:w="60"/>
              <w:left w:type="dxa" w:w="100"/>
              <w:bottom w:type="dxa" w:w="60"/>
              <w:right w:type="dxa" w:w="100"/>
            </w:tcMar>
            <w:vAlign w:val="center"/>
          </w:tcPr>
          <w:p>
            <w:r>
              <w:rPr>
                <w:rFonts w:ascii="Arial" w:cs="Arial" w:eastAsia="Arial" w:hAnsi="Arial"/>
                <w:color w:val="10B981"/>
                <w:sz w:val="18"/>
                <w:szCs w:val="18"/>
              </w:rPr>
              <w:t xml:space="preserve">Phase 1</w:t>
            </w:r>
          </w:p>
        </w:tc>
        <w:tc>
          <w:tcPr>
            <w:tcW w:type="dxa" w:w="2400"/>
            <w:tcBorders>
              <w:top w:val="single" w:color="B0C4DE" w:sz="1"/>
              <w:left w:val="single" w:color="B0C4DE" w:sz="1"/>
              <w:bottom w:val="single" w:color="B0C4DE" w:sz="1"/>
              <w:right w:val="single" w:color="B0C4DE" w:sz="1"/>
            </w:tcBorders>
            <w:shd w:fill="F0F6FF" w:val="clear"/>
            <w:tcMar>
              <w:top w:type="dxa" w:w="60"/>
              <w:left w:type="dxa" w:w="100"/>
              <w:bottom w:type="dxa" w:w="60"/>
              <w:right w:type="dxa" w:w="100"/>
            </w:tcMar>
            <w:vAlign w:val="center"/>
          </w:tcPr>
          <w:p>
            <w:r>
              <w:rPr>
                <w:rFonts w:ascii="Arial" w:cs="Arial" w:eastAsia="Arial" w:hAnsi="Arial"/>
                <w:sz w:val="18"/>
                <w:szCs w:val="18"/>
              </w:rPr>
              <w:t xml:space="preserve">Decision Tree §2.1</w:t>
            </w:r>
          </w:p>
        </w:tc>
      </w:tr>
      <w:tr>
        <w:tc>
          <w:tcPr>
            <w:tcW w:type="dxa" w:w="90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b/>
                <w:bCs/>
                <w:sz w:val="18"/>
                <w:szCs w:val="18"/>
              </w:rPr>
              <w:t xml:space="preserve">FR-5</w:t>
            </w:r>
          </w:p>
        </w:tc>
        <w:tc>
          <w:tcPr>
            <w:tcW w:type="dxa" w:w="260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b/>
                <w:bCs/>
                <w:sz w:val="18"/>
                <w:szCs w:val="18"/>
              </w:rPr>
              <w:t xml:space="preserve">Checklist State Machine</w:t>
            </w:r>
          </w:p>
        </w:tc>
        <w:tc>
          <w:tcPr>
            <w:tcW w:type="dxa" w:w="634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sz w:val="18"/>
                <w:szCs w:val="18"/>
              </w:rPr>
              <w:t xml:space="preserve">5-state lifecycle (Not Started, In Progress, Blocked, Complete, N/A) with defined transitions, AI actions on entry, and audit logging via PostgreSQL triggers.</w:t>
            </w:r>
          </w:p>
        </w:tc>
        <w:tc>
          <w:tcPr>
            <w:tcW w:type="dxa" w:w="120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color w:val="10B981"/>
                <w:sz w:val="18"/>
                <w:szCs w:val="18"/>
              </w:rPr>
              <w:t xml:space="preserve">Phase 1</w:t>
            </w:r>
          </w:p>
        </w:tc>
        <w:tc>
          <w:tcPr>
            <w:tcW w:type="dxa" w:w="240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sz w:val="18"/>
                <w:szCs w:val="18"/>
              </w:rPr>
              <w:t xml:space="preserve">Decision Tree §4.2</w:t>
            </w:r>
          </w:p>
        </w:tc>
      </w:tr>
      <w:tr>
        <w:tc>
          <w:tcPr>
            <w:tcW w:type="dxa" w:w="900"/>
            <w:tcBorders>
              <w:top w:val="single" w:color="B0C4DE" w:sz="1"/>
              <w:left w:val="single" w:color="B0C4DE" w:sz="1"/>
              <w:bottom w:val="single" w:color="B0C4DE" w:sz="1"/>
              <w:right w:val="single" w:color="B0C4DE" w:sz="1"/>
            </w:tcBorders>
            <w:shd w:fill="F0F6FF" w:val="clear"/>
            <w:tcMar>
              <w:top w:type="dxa" w:w="60"/>
              <w:left w:type="dxa" w:w="100"/>
              <w:bottom w:type="dxa" w:w="60"/>
              <w:right w:type="dxa" w:w="100"/>
            </w:tcMar>
            <w:vAlign w:val="center"/>
          </w:tcPr>
          <w:p>
            <w:r>
              <w:rPr>
                <w:rFonts w:ascii="Arial" w:cs="Arial" w:eastAsia="Arial" w:hAnsi="Arial"/>
                <w:b/>
                <w:bCs/>
                <w:sz w:val="18"/>
                <w:szCs w:val="18"/>
              </w:rPr>
              <w:t xml:space="preserve">FR-6</w:t>
            </w:r>
          </w:p>
        </w:tc>
        <w:tc>
          <w:tcPr>
            <w:tcW w:type="dxa" w:w="2600"/>
            <w:tcBorders>
              <w:top w:val="single" w:color="B0C4DE" w:sz="1"/>
              <w:left w:val="single" w:color="B0C4DE" w:sz="1"/>
              <w:bottom w:val="single" w:color="B0C4DE" w:sz="1"/>
              <w:right w:val="single" w:color="B0C4DE" w:sz="1"/>
            </w:tcBorders>
            <w:shd w:fill="F0F6FF" w:val="clear"/>
            <w:tcMar>
              <w:top w:type="dxa" w:w="60"/>
              <w:left w:type="dxa" w:w="100"/>
              <w:bottom w:type="dxa" w:w="60"/>
              <w:right w:type="dxa" w:w="100"/>
            </w:tcMar>
            <w:vAlign w:val="center"/>
          </w:tcPr>
          <w:p>
            <w:r>
              <w:rPr>
                <w:rFonts w:ascii="Arial" w:cs="Arial" w:eastAsia="Arial" w:hAnsi="Arial"/>
                <w:b/>
                <w:bCs/>
                <w:sz w:val="18"/>
                <w:szCs w:val="18"/>
              </w:rPr>
              <w:t xml:space="preserve">Adaptation Engine</w:t>
            </w:r>
          </w:p>
        </w:tc>
        <w:tc>
          <w:tcPr>
            <w:tcW w:type="dxa" w:w="6340"/>
            <w:tcBorders>
              <w:top w:val="single" w:color="B0C4DE" w:sz="1"/>
              <w:left w:val="single" w:color="B0C4DE" w:sz="1"/>
              <w:bottom w:val="single" w:color="B0C4DE" w:sz="1"/>
              <w:right w:val="single" w:color="B0C4DE" w:sz="1"/>
            </w:tcBorders>
            <w:shd w:fill="F0F6FF" w:val="clear"/>
            <w:tcMar>
              <w:top w:type="dxa" w:w="60"/>
              <w:left w:type="dxa" w:w="100"/>
              <w:bottom w:type="dxa" w:w="60"/>
              <w:right w:type="dxa" w:w="100"/>
            </w:tcMar>
            <w:vAlign w:val="center"/>
          </w:tcPr>
          <w:p>
            <w:r>
              <w:rPr>
                <w:rFonts w:ascii="Arial" w:cs="Arial" w:eastAsia="Arial" w:hAnsi="Arial"/>
                <w:sz w:val="18"/>
                <w:szCs w:val="18"/>
              </w:rPr>
              <w:t xml:space="preserve">7 trigger events cause checklist reconfiguration: close date change, TSA determination, new jurisdiction, owner assignment, milestone passed, external data update, risk threshold breach.</w:t>
            </w:r>
          </w:p>
        </w:tc>
        <w:tc>
          <w:tcPr>
            <w:tcW w:type="dxa" w:w="1200"/>
            <w:tcBorders>
              <w:top w:val="single" w:color="B0C4DE" w:sz="1"/>
              <w:left w:val="single" w:color="B0C4DE" w:sz="1"/>
              <w:bottom w:val="single" w:color="B0C4DE" w:sz="1"/>
              <w:right w:val="single" w:color="B0C4DE" w:sz="1"/>
            </w:tcBorders>
            <w:shd w:fill="F0F6FF" w:val="clear"/>
            <w:tcMar>
              <w:top w:type="dxa" w:w="60"/>
              <w:left w:type="dxa" w:w="100"/>
              <w:bottom w:type="dxa" w:w="60"/>
              <w:right w:type="dxa" w:w="100"/>
            </w:tcMar>
            <w:vAlign w:val="center"/>
          </w:tcPr>
          <w:p>
            <w:r>
              <w:rPr>
                <w:rFonts w:ascii="Arial" w:cs="Arial" w:eastAsia="Arial" w:hAnsi="Arial"/>
                <w:color w:val="10B981"/>
                <w:sz w:val="18"/>
                <w:szCs w:val="18"/>
              </w:rPr>
              <w:t xml:space="preserve">Phase 1</w:t>
            </w:r>
          </w:p>
        </w:tc>
        <w:tc>
          <w:tcPr>
            <w:tcW w:type="dxa" w:w="2400"/>
            <w:tcBorders>
              <w:top w:val="single" w:color="B0C4DE" w:sz="1"/>
              <w:left w:val="single" w:color="B0C4DE" w:sz="1"/>
              <w:bottom w:val="single" w:color="B0C4DE" w:sz="1"/>
              <w:right w:val="single" w:color="B0C4DE" w:sz="1"/>
            </w:tcBorders>
            <w:shd w:fill="F0F6FF" w:val="clear"/>
            <w:tcMar>
              <w:top w:type="dxa" w:w="60"/>
              <w:left w:type="dxa" w:w="100"/>
              <w:bottom w:type="dxa" w:w="60"/>
              <w:right w:type="dxa" w:w="100"/>
            </w:tcMar>
            <w:vAlign w:val="center"/>
          </w:tcPr>
          <w:p>
            <w:r>
              <w:rPr>
                <w:rFonts w:ascii="Arial" w:cs="Arial" w:eastAsia="Arial" w:hAnsi="Arial"/>
                <w:sz w:val="18"/>
                <w:szCs w:val="18"/>
              </w:rPr>
              <w:t xml:space="preserve">Decision Tree §4.3</w:t>
            </w:r>
          </w:p>
        </w:tc>
      </w:tr>
      <w:tr>
        <w:tc>
          <w:tcPr>
            <w:tcW w:type="dxa" w:w="90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b/>
                <w:bCs/>
                <w:sz w:val="18"/>
                <w:szCs w:val="18"/>
              </w:rPr>
              <w:t xml:space="preserve">FR-7</w:t>
            </w:r>
          </w:p>
        </w:tc>
        <w:tc>
          <w:tcPr>
            <w:tcW w:type="dxa" w:w="260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b/>
                <w:bCs/>
                <w:sz w:val="18"/>
                <w:szCs w:val="18"/>
              </w:rPr>
              <w:t xml:space="preserve">Risk Scanner</w:t>
            </w:r>
          </w:p>
        </w:tc>
        <w:tc>
          <w:tcPr>
            <w:tcW w:type="dxa" w:w="634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sz w:val="18"/>
                <w:szCs w:val="18"/>
              </w:rPr>
              <w:t xml:space="preserve">Automated risk assessment using 7 categories from Training Model Framework Section 6. JSON predicate rules evaluated on status change or 6-hour schedule. Risk cards with severity, indicators, and mitigations.</w:t>
            </w:r>
          </w:p>
        </w:tc>
        <w:tc>
          <w:tcPr>
            <w:tcW w:type="dxa" w:w="120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color w:val="10B981"/>
                <w:sz w:val="18"/>
                <w:szCs w:val="18"/>
              </w:rPr>
              <w:t xml:space="preserve">Phase 1</w:t>
            </w:r>
          </w:p>
        </w:tc>
        <w:tc>
          <w:tcPr>
            <w:tcW w:type="dxa" w:w="240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sz w:val="18"/>
                <w:szCs w:val="18"/>
              </w:rPr>
              <w:t xml:space="preserve">Framework §6</w:t>
            </w:r>
          </w:p>
        </w:tc>
      </w:tr>
      <w:tr>
        <w:tc>
          <w:tcPr>
            <w:tcW w:type="dxa" w:w="900"/>
            <w:tcBorders>
              <w:top w:val="single" w:color="B0C4DE" w:sz="1"/>
              <w:left w:val="single" w:color="B0C4DE" w:sz="1"/>
              <w:bottom w:val="single" w:color="B0C4DE" w:sz="1"/>
              <w:right w:val="single" w:color="B0C4DE" w:sz="1"/>
            </w:tcBorders>
            <w:shd w:fill="F0F6FF" w:val="clear"/>
            <w:tcMar>
              <w:top w:type="dxa" w:w="60"/>
              <w:left w:type="dxa" w:w="100"/>
              <w:bottom w:type="dxa" w:w="60"/>
              <w:right w:type="dxa" w:w="100"/>
            </w:tcMar>
            <w:vAlign w:val="center"/>
          </w:tcPr>
          <w:p>
            <w:r>
              <w:rPr>
                <w:rFonts w:ascii="Arial" w:cs="Arial" w:eastAsia="Arial" w:hAnsi="Arial"/>
                <w:b/>
                <w:bCs/>
                <w:sz w:val="18"/>
                <w:szCs w:val="18"/>
              </w:rPr>
              <w:t xml:space="preserve">FR-8</w:t>
            </w:r>
          </w:p>
        </w:tc>
        <w:tc>
          <w:tcPr>
            <w:tcW w:type="dxa" w:w="2600"/>
            <w:tcBorders>
              <w:top w:val="single" w:color="B0C4DE" w:sz="1"/>
              <w:left w:val="single" w:color="B0C4DE" w:sz="1"/>
              <w:bottom w:val="single" w:color="B0C4DE" w:sz="1"/>
              <w:right w:val="single" w:color="B0C4DE" w:sz="1"/>
            </w:tcBorders>
            <w:shd w:fill="F0F6FF" w:val="clear"/>
            <w:tcMar>
              <w:top w:type="dxa" w:w="60"/>
              <w:left w:type="dxa" w:w="100"/>
              <w:bottom w:type="dxa" w:w="60"/>
              <w:right w:type="dxa" w:w="100"/>
            </w:tcMar>
            <w:vAlign w:val="center"/>
          </w:tcPr>
          <w:p>
            <w:r>
              <w:rPr>
                <w:rFonts w:ascii="Arial" w:cs="Arial" w:eastAsia="Arial" w:hAnsi="Arial"/>
                <w:b/>
                <w:bCs/>
                <w:sz w:val="18"/>
                <w:szCs w:val="18"/>
              </w:rPr>
              <w:t xml:space="preserve">Deadline Monitor</w:t>
            </w:r>
          </w:p>
        </w:tc>
        <w:tc>
          <w:tcPr>
            <w:tcW w:type="dxa" w:w="6340"/>
            <w:tcBorders>
              <w:top w:val="single" w:color="B0C4DE" w:sz="1"/>
              <w:left w:val="single" w:color="B0C4DE" w:sz="1"/>
              <w:bottom w:val="single" w:color="B0C4DE" w:sz="1"/>
              <w:right w:val="single" w:color="B0C4DE" w:sz="1"/>
            </w:tcBorders>
            <w:shd w:fill="F0F6FF" w:val="clear"/>
            <w:tcMar>
              <w:top w:type="dxa" w:w="60"/>
              <w:left w:type="dxa" w:w="100"/>
              <w:bottom w:type="dxa" w:w="60"/>
              <w:right w:type="dxa" w:w="100"/>
            </w:tcMar>
            <w:vAlign w:val="center"/>
          </w:tcPr>
          <w:p>
            <w:r>
              <w:rPr>
                <w:rFonts w:ascii="Arial" w:cs="Arial" w:eastAsia="Arial" w:hAnsi="Arial"/>
                <w:sz w:val="18"/>
                <w:szCs w:val="18"/>
              </w:rPr>
              <w:t xml:space="preserve">Daily alerts at 8 AM deal-team timezone. Escalating thresholds: 14 days (amber), 7 days (red), overdue (critical). Critical path identification.</w:t>
            </w:r>
          </w:p>
        </w:tc>
        <w:tc>
          <w:tcPr>
            <w:tcW w:type="dxa" w:w="1200"/>
            <w:tcBorders>
              <w:top w:val="single" w:color="B0C4DE" w:sz="1"/>
              <w:left w:val="single" w:color="B0C4DE" w:sz="1"/>
              <w:bottom w:val="single" w:color="B0C4DE" w:sz="1"/>
              <w:right w:val="single" w:color="B0C4DE" w:sz="1"/>
            </w:tcBorders>
            <w:shd w:fill="F0F6FF" w:val="clear"/>
            <w:tcMar>
              <w:top w:type="dxa" w:w="60"/>
              <w:left w:type="dxa" w:w="100"/>
              <w:bottom w:type="dxa" w:w="60"/>
              <w:right w:type="dxa" w:w="100"/>
            </w:tcMar>
            <w:vAlign w:val="center"/>
          </w:tcPr>
          <w:p>
            <w:r>
              <w:rPr>
                <w:rFonts w:ascii="Arial" w:cs="Arial" w:eastAsia="Arial" w:hAnsi="Arial"/>
                <w:color w:val="10B981"/>
                <w:sz w:val="18"/>
                <w:szCs w:val="18"/>
              </w:rPr>
              <w:t xml:space="preserve">Phase 1</w:t>
            </w:r>
          </w:p>
        </w:tc>
        <w:tc>
          <w:tcPr>
            <w:tcW w:type="dxa" w:w="2400"/>
            <w:tcBorders>
              <w:top w:val="single" w:color="B0C4DE" w:sz="1"/>
              <w:left w:val="single" w:color="B0C4DE" w:sz="1"/>
              <w:bottom w:val="single" w:color="B0C4DE" w:sz="1"/>
              <w:right w:val="single" w:color="B0C4DE" w:sz="1"/>
            </w:tcBorders>
            <w:shd w:fill="F0F6FF" w:val="clear"/>
            <w:tcMar>
              <w:top w:type="dxa" w:w="60"/>
              <w:left w:type="dxa" w:w="100"/>
              <w:bottom w:type="dxa" w:w="60"/>
              <w:right w:type="dxa" w:w="100"/>
            </w:tcMar>
            <w:vAlign w:val="center"/>
          </w:tcPr>
          <w:p>
            <w:r>
              <w:rPr>
                <w:rFonts w:ascii="Arial" w:cs="Arial" w:eastAsia="Arial" w:hAnsi="Arial"/>
                <w:sz w:val="18"/>
                <w:szCs w:val="18"/>
              </w:rPr>
              <w:t xml:space="preserve">Decision Tree §5.1</w:t>
            </w:r>
          </w:p>
        </w:tc>
      </w:tr>
      <w:tr>
        <w:tc>
          <w:tcPr>
            <w:tcW w:type="dxa" w:w="90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b/>
                <w:bCs/>
                <w:sz w:val="18"/>
                <w:szCs w:val="18"/>
              </w:rPr>
              <w:t xml:space="preserve">FR-9</w:t>
            </w:r>
          </w:p>
        </w:tc>
        <w:tc>
          <w:tcPr>
            <w:tcW w:type="dxa" w:w="260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b/>
                <w:bCs/>
                <w:sz w:val="18"/>
                <w:szCs w:val="18"/>
              </w:rPr>
              <w:t xml:space="preserve">AI Guidance Engine</w:t>
            </w:r>
          </w:p>
        </w:tc>
        <w:tc>
          <w:tcPr>
            <w:tcW w:type="dxa" w:w="634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sz w:val="18"/>
                <w:szCs w:val="18"/>
              </w:rPr>
              <w:t xml:space="preserve">Context-aware prompts from guidance_library when user opens in-progress items. Template selection based on workstream, section, cross-border flag, and sector. Claude API for contextual expansion.</w:t>
            </w:r>
          </w:p>
        </w:tc>
        <w:tc>
          <w:tcPr>
            <w:tcW w:type="dxa" w:w="120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color w:val="10B981"/>
                <w:sz w:val="18"/>
                <w:szCs w:val="18"/>
              </w:rPr>
              <w:t xml:space="preserve">Phase 1</w:t>
            </w:r>
          </w:p>
        </w:tc>
        <w:tc>
          <w:tcPr>
            <w:tcW w:type="dxa" w:w="240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sz w:val="18"/>
                <w:szCs w:val="18"/>
              </w:rPr>
              <w:t xml:space="preserve">Framework §5.1</w:t>
            </w:r>
          </w:p>
        </w:tc>
      </w:tr>
      <w:tr>
        <w:tc>
          <w:tcPr>
            <w:tcW w:type="dxa" w:w="900"/>
            <w:tcBorders>
              <w:top w:val="single" w:color="B0C4DE" w:sz="1"/>
              <w:left w:val="single" w:color="B0C4DE" w:sz="1"/>
              <w:bottom w:val="single" w:color="B0C4DE" w:sz="1"/>
              <w:right w:val="single" w:color="B0C4DE" w:sz="1"/>
            </w:tcBorders>
            <w:shd w:fill="F0F6FF" w:val="clear"/>
            <w:tcMar>
              <w:top w:type="dxa" w:w="60"/>
              <w:left w:type="dxa" w:w="100"/>
              <w:bottom w:type="dxa" w:w="60"/>
              <w:right w:type="dxa" w:w="100"/>
            </w:tcMar>
            <w:vAlign w:val="center"/>
          </w:tcPr>
          <w:p>
            <w:r>
              <w:rPr>
                <w:rFonts w:ascii="Arial" w:cs="Arial" w:eastAsia="Arial" w:hAnsi="Arial"/>
                <w:b/>
                <w:bCs/>
                <w:sz w:val="18"/>
                <w:szCs w:val="18"/>
              </w:rPr>
              <w:t xml:space="preserve">FR-10</w:t>
            </w:r>
          </w:p>
        </w:tc>
        <w:tc>
          <w:tcPr>
            <w:tcW w:type="dxa" w:w="2600"/>
            <w:tcBorders>
              <w:top w:val="single" w:color="B0C4DE" w:sz="1"/>
              <w:left w:val="single" w:color="B0C4DE" w:sz="1"/>
              <w:bottom w:val="single" w:color="B0C4DE" w:sz="1"/>
              <w:right w:val="single" w:color="B0C4DE" w:sz="1"/>
            </w:tcBorders>
            <w:shd w:fill="F0F6FF" w:val="clear"/>
            <w:tcMar>
              <w:top w:type="dxa" w:w="60"/>
              <w:left w:type="dxa" w:w="100"/>
              <w:bottom w:type="dxa" w:w="60"/>
              <w:right w:type="dxa" w:w="100"/>
            </w:tcMar>
            <w:vAlign w:val="center"/>
          </w:tcPr>
          <w:p>
            <w:r>
              <w:rPr>
                <w:rFonts w:ascii="Arial" w:cs="Arial" w:eastAsia="Arial" w:hAnsi="Arial"/>
                <w:b/>
                <w:bCs/>
                <w:sz w:val="18"/>
                <w:szCs w:val="18"/>
              </w:rPr>
              <w:t xml:space="preserve">PMO Dashboard</w:t>
            </w:r>
          </w:p>
        </w:tc>
        <w:tc>
          <w:tcPr>
            <w:tcW w:type="dxa" w:w="6340"/>
            <w:tcBorders>
              <w:top w:val="single" w:color="B0C4DE" w:sz="1"/>
              <w:left w:val="single" w:color="B0C4DE" w:sz="1"/>
              <w:bottom w:val="single" w:color="B0C4DE" w:sz="1"/>
              <w:right w:val="single" w:color="B0C4DE" w:sz="1"/>
            </w:tcBorders>
            <w:shd w:fill="F0F6FF" w:val="clear"/>
            <w:tcMar>
              <w:top w:type="dxa" w:w="60"/>
              <w:left w:type="dxa" w:w="100"/>
              <w:bottom w:type="dxa" w:w="60"/>
              <w:right w:type="dxa" w:w="100"/>
            </w:tcMar>
            <w:vAlign w:val="center"/>
          </w:tcPr>
          <w:p>
            <w:r>
              <w:rPr>
                <w:rFonts w:ascii="Arial" w:cs="Arial" w:eastAsia="Arial" w:hAnsi="Arial"/>
                <w:sz w:val="18"/>
                <w:szCs w:val="18"/>
              </w:rPr>
              <w:t xml:space="preserve">4-tab interface: Overview (KPIs, workstream progress, risks, milestones), Checklist (filterable table), Risks (heat map + detection rules), Timeline (phase visualization).</w:t>
            </w:r>
          </w:p>
        </w:tc>
        <w:tc>
          <w:tcPr>
            <w:tcW w:type="dxa" w:w="1200"/>
            <w:tcBorders>
              <w:top w:val="single" w:color="B0C4DE" w:sz="1"/>
              <w:left w:val="single" w:color="B0C4DE" w:sz="1"/>
              <w:bottom w:val="single" w:color="B0C4DE" w:sz="1"/>
              <w:right w:val="single" w:color="B0C4DE" w:sz="1"/>
            </w:tcBorders>
            <w:shd w:fill="F0F6FF" w:val="clear"/>
            <w:tcMar>
              <w:top w:type="dxa" w:w="60"/>
              <w:left w:type="dxa" w:w="100"/>
              <w:bottom w:type="dxa" w:w="60"/>
              <w:right w:type="dxa" w:w="100"/>
            </w:tcMar>
            <w:vAlign w:val="center"/>
          </w:tcPr>
          <w:p>
            <w:r>
              <w:rPr>
                <w:rFonts w:ascii="Arial" w:cs="Arial" w:eastAsia="Arial" w:hAnsi="Arial"/>
                <w:color w:val="10B981"/>
                <w:sz w:val="18"/>
                <w:szCs w:val="18"/>
              </w:rPr>
              <w:t xml:space="preserve">Phase 1</w:t>
            </w:r>
          </w:p>
        </w:tc>
        <w:tc>
          <w:tcPr>
            <w:tcW w:type="dxa" w:w="2400"/>
            <w:tcBorders>
              <w:top w:val="single" w:color="B0C4DE" w:sz="1"/>
              <w:left w:val="single" w:color="B0C4DE" w:sz="1"/>
              <w:bottom w:val="single" w:color="B0C4DE" w:sz="1"/>
              <w:right w:val="single" w:color="B0C4DE" w:sz="1"/>
            </w:tcBorders>
            <w:shd w:fill="F0F6FF" w:val="clear"/>
            <w:tcMar>
              <w:top w:type="dxa" w:w="60"/>
              <w:left w:type="dxa" w:w="100"/>
              <w:bottom w:type="dxa" w:w="60"/>
              <w:right w:type="dxa" w:w="100"/>
            </w:tcMar>
            <w:vAlign w:val="center"/>
          </w:tcPr>
          <w:p>
            <w:r>
              <w:rPr>
                <w:rFonts w:ascii="Arial" w:cs="Arial" w:eastAsia="Arial" w:hAnsi="Arial"/>
                <w:sz w:val="18"/>
                <w:szCs w:val="18"/>
              </w:rPr>
              <w:t xml:space="preserve">Wireframe</w:t>
            </w:r>
          </w:p>
        </w:tc>
      </w:tr>
      <w:tr>
        <w:tc>
          <w:tcPr>
            <w:tcW w:type="dxa" w:w="90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b/>
                <w:bCs/>
                <w:sz w:val="18"/>
                <w:szCs w:val="18"/>
              </w:rPr>
              <w:t xml:space="preserve">FR-11</w:t>
            </w:r>
          </w:p>
        </w:tc>
        <w:tc>
          <w:tcPr>
            <w:tcW w:type="dxa" w:w="260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b/>
                <w:bCs/>
                <w:sz w:val="18"/>
                <w:szCs w:val="18"/>
              </w:rPr>
              <w:t xml:space="preserve">Document Export</w:t>
            </w:r>
          </w:p>
        </w:tc>
        <w:tc>
          <w:tcPr>
            <w:tcW w:type="dxa" w:w="634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sz w:val="18"/>
                <w:szCs w:val="18"/>
              </w:rPr>
              <w:t xml:space="preserve">Generate Word/PowerPoint documents from deal state: workflow summary, active checklist, risk assessment, SteerCo briefing materials.</w:t>
            </w:r>
          </w:p>
        </w:tc>
        <w:tc>
          <w:tcPr>
            <w:tcW w:type="dxa" w:w="120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color w:val="10B981"/>
                <w:sz w:val="18"/>
                <w:szCs w:val="18"/>
              </w:rPr>
              <w:t xml:space="preserve">Phase 1</w:t>
            </w:r>
          </w:p>
        </w:tc>
        <w:tc>
          <w:tcPr>
            <w:tcW w:type="dxa" w:w="240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sz w:val="18"/>
                <w:szCs w:val="18"/>
              </w:rPr>
              <w:t xml:space="preserve">Decision Tree §5.1</w:t>
            </w:r>
          </w:p>
        </w:tc>
      </w:tr>
      <w:tr>
        <w:tc>
          <w:tcPr>
            <w:tcW w:type="dxa" w:w="900"/>
            <w:tcBorders>
              <w:top w:val="single" w:color="B0C4DE" w:sz="1"/>
              <w:left w:val="single" w:color="B0C4DE" w:sz="1"/>
              <w:bottom w:val="single" w:color="B0C4DE" w:sz="1"/>
              <w:right w:val="single" w:color="B0C4DE" w:sz="1"/>
            </w:tcBorders>
            <w:shd w:fill="F0F6FF" w:val="clear"/>
            <w:tcMar>
              <w:top w:type="dxa" w:w="60"/>
              <w:left w:type="dxa" w:w="100"/>
              <w:bottom w:type="dxa" w:w="60"/>
              <w:right w:type="dxa" w:w="100"/>
            </w:tcMar>
            <w:vAlign w:val="center"/>
          </w:tcPr>
          <w:p>
            <w:r>
              <w:rPr>
                <w:rFonts w:ascii="Arial" w:cs="Arial" w:eastAsia="Arial" w:hAnsi="Arial"/>
                <w:b/>
                <w:bCs/>
                <w:sz w:val="18"/>
                <w:szCs w:val="18"/>
              </w:rPr>
              <w:t xml:space="preserve">FR-12</w:t>
            </w:r>
          </w:p>
        </w:tc>
        <w:tc>
          <w:tcPr>
            <w:tcW w:type="dxa" w:w="2600"/>
            <w:tcBorders>
              <w:top w:val="single" w:color="B0C4DE" w:sz="1"/>
              <w:left w:val="single" w:color="B0C4DE" w:sz="1"/>
              <w:bottom w:val="single" w:color="B0C4DE" w:sz="1"/>
              <w:right w:val="single" w:color="B0C4DE" w:sz="1"/>
            </w:tcBorders>
            <w:shd w:fill="F0F6FF" w:val="clear"/>
            <w:tcMar>
              <w:top w:type="dxa" w:w="60"/>
              <w:left w:type="dxa" w:w="100"/>
              <w:bottom w:type="dxa" w:w="60"/>
              <w:right w:type="dxa" w:w="100"/>
            </w:tcMar>
            <w:vAlign w:val="center"/>
          </w:tcPr>
          <w:p>
            <w:r>
              <w:rPr>
                <w:rFonts w:ascii="Arial" w:cs="Arial" w:eastAsia="Arial" w:hAnsi="Arial"/>
                <w:b/>
                <w:bCs/>
                <w:sz w:val="18"/>
                <w:szCs w:val="18"/>
              </w:rPr>
              <w:t xml:space="preserve">Team Management</w:t>
            </w:r>
          </w:p>
        </w:tc>
        <w:tc>
          <w:tcPr>
            <w:tcW w:type="dxa" w:w="6340"/>
            <w:tcBorders>
              <w:top w:val="single" w:color="B0C4DE" w:sz="1"/>
              <w:left w:val="single" w:color="B0C4DE" w:sz="1"/>
              <w:bottom w:val="single" w:color="B0C4DE" w:sz="1"/>
              <w:right w:val="single" w:color="B0C4DE" w:sz="1"/>
            </w:tcBorders>
            <w:shd w:fill="F0F6FF" w:val="clear"/>
            <w:tcMar>
              <w:top w:type="dxa" w:w="60"/>
              <w:left w:type="dxa" w:w="100"/>
              <w:bottom w:type="dxa" w:w="60"/>
              <w:right w:type="dxa" w:w="100"/>
            </w:tcMar>
            <w:vAlign w:val="center"/>
          </w:tcPr>
          <w:p>
            <w:r>
              <w:rPr>
                <w:rFonts w:ascii="Arial" w:cs="Arial" w:eastAsia="Arial" w:hAnsi="Arial"/>
                <w:sz w:val="18"/>
                <w:szCs w:val="18"/>
              </w:rPr>
              <w:t xml:space="preserve">Team member roster with roles, email, workstream assignments. Task assignment and notification routing. Role-based access per deal.</w:t>
            </w:r>
          </w:p>
        </w:tc>
        <w:tc>
          <w:tcPr>
            <w:tcW w:type="dxa" w:w="1200"/>
            <w:tcBorders>
              <w:top w:val="single" w:color="B0C4DE" w:sz="1"/>
              <w:left w:val="single" w:color="B0C4DE" w:sz="1"/>
              <w:bottom w:val="single" w:color="B0C4DE" w:sz="1"/>
              <w:right w:val="single" w:color="B0C4DE" w:sz="1"/>
            </w:tcBorders>
            <w:shd w:fill="F0F6FF" w:val="clear"/>
            <w:tcMar>
              <w:top w:type="dxa" w:w="60"/>
              <w:left w:type="dxa" w:w="100"/>
              <w:bottom w:type="dxa" w:w="60"/>
              <w:right w:type="dxa" w:w="100"/>
            </w:tcMar>
            <w:vAlign w:val="center"/>
          </w:tcPr>
          <w:p>
            <w:r>
              <w:rPr>
                <w:rFonts w:ascii="Arial" w:cs="Arial" w:eastAsia="Arial" w:hAnsi="Arial"/>
                <w:color w:val="10B981"/>
                <w:sz w:val="18"/>
                <w:szCs w:val="18"/>
              </w:rPr>
              <w:t xml:space="preserve">Phase 1</w:t>
            </w:r>
          </w:p>
        </w:tc>
        <w:tc>
          <w:tcPr>
            <w:tcW w:type="dxa" w:w="2400"/>
            <w:tcBorders>
              <w:top w:val="single" w:color="B0C4DE" w:sz="1"/>
              <w:left w:val="single" w:color="B0C4DE" w:sz="1"/>
              <w:bottom w:val="single" w:color="B0C4DE" w:sz="1"/>
              <w:right w:val="single" w:color="B0C4DE" w:sz="1"/>
            </w:tcBorders>
            <w:shd w:fill="F0F6FF" w:val="clear"/>
            <w:tcMar>
              <w:top w:type="dxa" w:w="60"/>
              <w:left w:type="dxa" w:w="100"/>
              <w:bottom w:type="dxa" w:w="60"/>
              <w:right w:type="dxa" w:w="100"/>
            </w:tcMar>
            <w:vAlign w:val="center"/>
          </w:tcPr>
          <w:p>
            <w:r>
              <w:rPr>
                <w:rFonts w:ascii="Arial" w:cs="Arial" w:eastAsia="Arial" w:hAnsi="Arial"/>
                <w:sz w:val="18"/>
                <w:szCs w:val="18"/>
              </w:rPr>
              <w:t xml:space="preserve">Data Model</w:t>
            </w:r>
          </w:p>
        </w:tc>
      </w:tr>
      <w:tr>
        <w:tc>
          <w:tcPr>
            <w:tcW w:type="dxa" w:w="90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b/>
                <w:bCs/>
                <w:sz w:val="18"/>
                <w:szCs w:val="18"/>
              </w:rPr>
              <w:t xml:space="preserve">FR-13</w:t>
            </w:r>
          </w:p>
        </w:tc>
        <w:tc>
          <w:tcPr>
            <w:tcW w:type="dxa" w:w="260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b/>
                <w:bCs/>
                <w:sz w:val="18"/>
                <w:szCs w:val="18"/>
              </w:rPr>
              <w:t xml:space="preserve">Industry Overlays</w:t>
            </w:r>
          </w:p>
        </w:tc>
        <w:tc>
          <w:tcPr>
            <w:tcW w:type="dxa" w:w="634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sz w:val="18"/>
                <w:szCs w:val="18"/>
              </w:rPr>
              <w:t xml:space="preserve">Sector-specific regulatory requirements: CFIUS (defense), FDA (pharma), banking licenses (financial services), ITAR/EAR (defense/tech). Adjusts DD prompts and risk rules.</w:t>
            </w:r>
          </w:p>
        </w:tc>
        <w:tc>
          <w:tcPr>
            <w:tcW w:type="dxa" w:w="120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color w:val="F59E0B"/>
                <w:sz w:val="18"/>
                <w:szCs w:val="18"/>
              </w:rPr>
              <w:t xml:space="preserve">Phase 2</w:t>
            </w:r>
          </w:p>
        </w:tc>
        <w:tc>
          <w:tcPr>
            <w:tcW w:type="dxa" w:w="240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sz w:val="18"/>
                <w:szCs w:val="18"/>
              </w:rPr>
              <w:t xml:space="preserve">Framework §2.2</w:t>
            </w:r>
          </w:p>
        </w:tc>
      </w:tr>
      <w:tr>
        <w:tc>
          <w:tcPr>
            <w:tcW w:type="dxa" w:w="900"/>
            <w:tcBorders>
              <w:top w:val="single" w:color="B0C4DE" w:sz="1"/>
              <w:left w:val="single" w:color="B0C4DE" w:sz="1"/>
              <w:bottom w:val="single" w:color="B0C4DE" w:sz="1"/>
              <w:right w:val="single" w:color="B0C4DE" w:sz="1"/>
            </w:tcBorders>
            <w:shd w:fill="F0F6FF" w:val="clear"/>
            <w:tcMar>
              <w:top w:type="dxa" w:w="60"/>
              <w:left w:type="dxa" w:w="100"/>
              <w:bottom w:type="dxa" w:w="60"/>
              <w:right w:type="dxa" w:w="100"/>
            </w:tcMar>
            <w:vAlign w:val="center"/>
          </w:tcPr>
          <w:p>
            <w:r>
              <w:rPr>
                <w:rFonts w:ascii="Arial" w:cs="Arial" w:eastAsia="Arial" w:hAnsi="Arial"/>
                <w:b/>
                <w:bCs/>
                <w:sz w:val="18"/>
                <w:szCs w:val="18"/>
              </w:rPr>
              <w:t xml:space="preserve">FR-14</w:t>
            </w:r>
          </w:p>
        </w:tc>
        <w:tc>
          <w:tcPr>
            <w:tcW w:type="dxa" w:w="2600"/>
            <w:tcBorders>
              <w:top w:val="single" w:color="B0C4DE" w:sz="1"/>
              <w:left w:val="single" w:color="B0C4DE" w:sz="1"/>
              <w:bottom w:val="single" w:color="B0C4DE" w:sz="1"/>
              <w:right w:val="single" w:color="B0C4DE" w:sz="1"/>
            </w:tcBorders>
            <w:shd w:fill="F0F6FF" w:val="clear"/>
            <w:tcMar>
              <w:top w:type="dxa" w:w="60"/>
              <w:left w:type="dxa" w:w="100"/>
              <w:bottom w:type="dxa" w:w="60"/>
              <w:right w:type="dxa" w:w="100"/>
            </w:tcMar>
            <w:vAlign w:val="center"/>
          </w:tcPr>
          <w:p>
            <w:r>
              <w:rPr>
                <w:rFonts w:ascii="Arial" w:cs="Arial" w:eastAsia="Arial" w:hAnsi="Arial"/>
                <w:b/>
                <w:bCs/>
                <w:sz w:val="18"/>
                <w:szCs w:val="18"/>
              </w:rPr>
              <w:t xml:space="preserve">Multi-Agent Orchestration</w:t>
            </w:r>
          </w:p>
        </w:tc>
        <w:tc>
          <w:tcPr>
            <w:tcW w:type="dxa" w:w="6340"/>
            <w:tcBorders>
              <w:top w:val="single" w:color="B0C4DE" w:sz="1"/>
              <w:left w:val="single" w:color="B0C4DE" w:sz="1"/>
              <w:bottom w:val="single" w:color="B0C4DE" w:sz="1"/>
              <w:right w:val="single" w:color="B0C4DE" w:sz="1"/>
            </w:tcBorders>
            <w:shd w:fill="F0F6FF" w:val="clear"/>
            <w:tcMar>
              <w:top w:type="dxa" w:w="60"/>
              <w:left w:type="dxa" w:w="100"/>
              <w:bottom w:type="dxa" w:w="60"/>
              <w:right w:type="dxa" w:w="100"/>
            </w:tcMar>
            <w:vAlign w:val="center"/>
          </w:tcPr>
          <w:p>
            <w:r>
              <w:rPr>
                <w:rFonts w:ascii="Arial" w:cs="Arial" w:eastAsia="Arial" w:hAnsi="Arial"/>
                <w:sz w:val="18"/>
                <w:szCs w:val="18"/>
              </w:rPr>
              <w:t xml:space="preserve">5 specialized agents (Supervisor, Regulatory, Financial, TSA Lifecycle, Risk) coordinated via LangGraph. Proactive recommendations requiring PMO approval.</w:t>
            </w:r>
          </w:p>
        </w:tc>
        <w:tc>
          <w:tcPr>
            <w:tcW w:type="dxa" w:w="1200"/>
            <w:tcBorders>
              <w:top w:val="single" w:color="B0C4DE" w:sz="1"/>
              <w:left w:val="single" w:color="B0C4DE" w:sz="1"/>
              <w:bottom w:val="single" w:color="B0C4DE" w:sz="1"/>
              <w:right w:val="single" w:color="B0C4DE" w:sz="1"/>
            </w:tcBorders>
            <w:shd w:fill="F0F6FF" w:val="clear"/>
            <w:tcMar>
              <w:top w:type="dxa" w:w="60"/>
              <w:left w:type="dxa" w:w="100"/>
              <w:bottom w:type="dxa" w:w="60"/>
              <w:right w:type="dxa" w:w="100"/>
            </w:tcMar>
            <w:vAlign w:val="center"/>
          </w:tcPr>
          <w:p>
            <w:r>
              <w:rPr>
                <w:rFonts w:ascii="Arial" w:cs="Arial" w:eastAsia="Arial" w:hAnsi="Arial"/>
                <w:color w:val="F59E0B"/>
                <w:sz w:val="18"/>
                <w:szCs w:val="18"/>
              </w:rPr>
              <w:t xml:space="preserve">Phase 2</w:t>
            </w:r>
          </w:p>
        </w:tc>
        <w:tc>
          <w:tcPr>
            <w:tcW w:type="dxa" w:w="2400"/>
            <w:tcBorders>
              <w:top w:val="single" w:color="B0C4DE" w:sz="1"/>
              <w:left w:val="single" w:color="B0C4DE" w:sz="1"/>
              <w:bottom w:val="single" w:color="B0C4DE" w:sz="1"/>
              <w:right w:val="single" w:color="B0C4DE" w:sz="1"/>
            </w:tcBorders>
            <w:shd w:fill="F0F6FF" w:val="clear"/>
            <w:tcMar>
              <w:top w:type="dxa" w:w="60"/>
              <w:left w:type="dxa" w:w="100"/>
              <w:bottom w:type="dxa" w:w="60"/>
              <w:right w:type="dxa" w:w="100"/>
            </w:tcMar>
            <w:vAlign w:val="center"/>
          </w:tcPr>
          <w:p>
            <w:r>
              <w:rPr>
                <w:rFonts w:ascii="Arial" w:cs="Arial" w:eastAsia="Arial" w:hAnsi="Arial"/>
                <w:sz w:val="18"/>
                <w:szCs w:val="18"/>
              </w:rPr>
              <w:t xml:space="preserve">Decision Tree §5.2</w:t>
            </w:r>
          </w:p>
        </w:tc>
      </w:tr>
      <w:tr>
        <w:tc>
          <w:tcPr>
            <w:tcW w:type="dxa" w:w="90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b/>
                <w:bCs/>
                <w:sz w:val="18"/>
                <w:szCs w:val="18"/>
              </w:rPr>
              <w:t xml:space="preserve">FR-15</w:t>
            </w:r>
          </w:p>
        </w:tc>
        <w:tc>
          <w:tcPr>
            <w:tcW w:type="dxa" w:w="260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b/>
                <w:bCs/>
                <w:sz w:val="18"/>
                <w:szCs w:val="18"/>
              </w:rPr>
              <w:t xml:space="preserve">TSA Lifecycle Management</w:t>
            </w:r>
          </w:p>
        </w:tc>
        <w:tc>
          <w:tcPr>
            <w:tcW w:type="dxa" w:w="634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sz w:val="18"/>
                <w:szCs w:val="18"/>
              </w:rPr>
              <w:t xml:space="preserve">TSA service inventory with SLA tracking, pricing model benchmarks, exit readiness scoring, and monthly scorecards.</w:t>
            </w:r>
          </w:p>
        </w:tc>
        <w:tc>
          <w:tcPr>
            <w:tcW w:type="dxa" w:w="120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color w:val="F59E0B"/>
                <w:sz w:val="18"/>
                <w:szCs w:val="18"/>
              </w:rPr>
              <w:t xml:space="preserve">Phase 2</w:t>
            </w:r>
          </w:p>
        </w:tc>
        <w:tc>
          <w:tcPr>
            <w:tcW w:type="dxa" w:w="240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sz w:val="18"/>
                <w:szCs w:val="18"/>
              </w:rPr>
              <w:t xml:space="preserve">Framework §4</w:t>
            </w:r>
          </w:p>
        </w:tc>
      </w:tr>
      <w:tr>
        <w:tc>
          <w:tcPr>
            <w:tcW w:type="dxa" w:w="900"/>
            <w:tcBorders>
              <w:top w:val="single" w:color="B0C4DE" w:sz="1"/>
              <w:left w:val="single" w:color="B0C4DE" w:sz="1"/>
              <w:bottom w:val="single" w:color="B0C4DE" w:sz="1"/>
              <w:right w:val="single" w:color="B0C4DE" w:sz="1"/>
            </w:tcBorders>
            <w:shd w:fill="F0F6FF" w:val="clear"/>
            <w:tcMar>
              <w:top w:type="dxa" w:w="60"/>
              <w:left w:type="dxa" w:w="100"/>
              <w:bottom w:type="dxa" w:w="60"/>
              <w:right w:type="dxa" w:w="100"/>
            </w:tcMar>
            <w:vAlign w:val="center"/>
          </w:tcPr>
          <w:p>
            <w:r>
              <w:rPr>
                <w:rFonts w:ascii="Arial" w:cs="Arial" w:eastAsia="Arial" w:hAnsi="Arial"/>
                <w:b/>
                <w:bCs/>
                <w:sz w:val="18"/>
                <w:szCs w:val="18"/>
              </w:rPr>
              <w:t xml:space="preserve">FR-16</w:t>
            </w:r>
          </w:p>
        </w:tc>
        <w:tc>
          <w:tcPr>
            <w:tcW w:type="dxa" w:w="2600"/>
            <w:tcBorders>
              <w:top w:val="single" w:color="B0C4DE" w:sz="1"/>
              <w:left w:val="single" w:color="B0C4DE" w:sz="1"/>
              <w:bottom w:val="single" w:color="B0C4DE" w:sz="1"/>
              <w:right w:val="single" w:color="B0C4DE" w:sz="1"/>
            </w:tcBorders>
            <w:shd w:fill="F0F6FF" w:val="clear"/>
            <w:tcMar>
              <w:top w:type="dxa" w:w="60"/>
              <w:left w:type="dxa" w:w="100"/>
              <w:bottom w:type="dxa" w:w="60"/>
              <w:right w:type="dxa" w:w="100"/>
            </w:tcMar>
            <w:vAlign w:val="center"/>
          </w:tcPr>
          <w:p>
            <w:r>
              <w:rPr>
                <w:rFonts w:ascii="Arial" w:cs="Arial" w:eastAsia="Arial" w:hAnsi="Arial"/>
                <w:b/>
                <w:bCs/>
                <w:sz w:val="18"/>
                <w:szCs w:val="18"/>
              </w:rPr>
              <w:t xml:space="preserve">Autonomous Task Generation</w:t>
            </w:r>
          </w:p>
        </w:tc>
        <w:tc>
          <w:tcPr>
            <w:tcW w:type="dxa" w:w="6340"/>
            <w:tcBorders>
              <w:top w:val="single" w:color="B0C4DE" w:sz="1"/>
              <w:left w:val="single" w:color="B0C4DE" w:sz="1"/>
              <w:bottom w:val="single" w:color="B0C4DE" w:sz="1"/>
              <w:right w:val="single" w:color="B0C4DE" w:sz="1"/>
            </w:tcBorders>
            <w:shd w:fill="F0F6FF" w:val="clear"/>
            <w:tcMar>
              <w:top w:type="dxa" w:w="60"/>
              <w:left w:type="dxa" w:w="100"/>
              <w:bottom w:type="dxa" w:w="60"/>
              <w:right w:type="dxa" w:w="100"/>
            </w:tcMar>
            <w:vAlign w:val="center"/>
          </w:tcPr>
          <w:p>
            <w:r>
              <w:rPr>
                <w:rFonts w:ascii="Arial" w:cs="Arial" w:eastAsia="Arial" w:hAnsi="Arial"/>
                <w:sz w:val="18"/>
                <w:szCs w:val="18"/>
              </w:rPr>
              <w:t xml:space="preserve">Auto-generate checklist items when new information surfaces. AI-Generated flag pending PMO confirmation. Max 10 auto-generated items per trigger.</w:t>
            </w:r>
          </w:p>
        </w:tc>
        <w:tc>
          <w:tcPr>
            <w:tcW w:type="dxa" w:w="1200"/>
            <w:tcBorders>
              <w:top w:val="single" w:color="B0C4DE" w:sz="1"/>
              <w:left w:val="single" w:color="B0C4DE" w:sz="1"/>
              <w:bottom w:val="single" w:color="B0C4DE" w:sz="1"/>
              <w:right w:val="single" w:color="B0C4DE" w:sz="1"/>
            </w:tcBorders>
            <w:shd w:fill="F0F6FF" w:val="clear"/>
            <w:tcMar>
              <w:top w:type="dxa" w:w="60"/>
              <w:left w:type="dxa" w:w="100"/>
              <w:bottom w:type="dxa" w:w="60"/>
              <w:right w:type="dxa" w:w="100"/>
            </w:tcMar>
            <w:vAlign w:val="center"/>
          </w:tcPr>
          <w:p>
            <w:r>
              <w:rPr>
                <w:rFonts w:ascii="Arial" w:cs="Arial" w:eastAsia="Arial" w:hAnsi="Arial"/>
                <w:color w:val="EF4444"/>
                <w:sz w:val="18"/>
                <w:szCs w:val="18"/>
              </w:rPr>
              <w:t xml:space="preserve">Phase 3</w:t>
            </w:r>
          </w:p>
        </w:tc>
        <w:tc>
          <w:tcPr>
            <w:tcW w:type="dxa" w:w="2400"/>
            <w:tcBorders>
              <w:top w:val="single" w:color="B0C4DE" w:sz="1"/>
              <w:left w:val="single" w:color="B0C4DE" w:sz="1"/>
              <w:bottom w:val="single" w:color="B0C4DE" w:sz="1"/>
              <w:right w:val="single" w:color="B0C4DE" w:sz="1"/>
            </w:tcBorders>
            <w:shd w:fill="F0F6FF" w:val="clear"/>
            <w:tcMar>
              <w:top w:type="dxa" w:w="60"/>
              <w:left w:type="dxa" w:w="100"/>
              <w:bottom w:type="dxa" w:w="60"/>
              <w:right w:type="dxa" w:w="100"/>
            </w:tcMar>
            <w:vAlign w:val="center"/>
          </w:tcPr>
          <w:p>
            <w:r>
              <w:rPr>
                <w:rFonts w:ascii="Arial" w:cs="Arial" w:eastAsia="Arial" w:hAnsi="Arial"/>
                <w:sz w:val="18"/>
                <w:szCs w:val="18"/>
              </w:rPr>
              <w:t xml:space="preserve">Decision Tree §5.3</w:t>
            </w:r>
          </w:p>
        </w:tc>
      </w:tr>
      <w:tr>
        <w:tc>
          <w:tcPr>
            <w:tcW w:type="dxa" w:w="90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b/>
                <w:bCs/>
                <w:sz w:val="18"/>
                <w:szCs w:val="18"/>
              </w:rPr>
              <w:t xml:space="preserve">FR-17</w:t>
            </w:r>
          </w:p>
        </w:tc>
        <w:tc>
          <w:tcPr>
            <w:tcW w:type="dxa" w:w="260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b/>
                <w:bCs/>
                <w:sz w:val="18"/>
                <w:szCs w:val="18"/>
              </w:rPr>
              <w:t xml:space="preserve">Predictive Analytics</w:t>
            </w:r>
          </w:p>
        </w:tc>
        <w:tc>
          <w:tcPr>
            <w:tcW w:type="dxa" w:w="634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sz w:val="18"/>
                <w:szCs w:val="18"/>
              </w:rPr>
              <w:t xml:space="preserve">Model integration timeline scenarios. Predict workstream misses, TSA extension needs, budget overruns &gt;15%. Probability ranges with confidence intervals.</w:t>
            </w:r>
          </w:p>
        </w:tc>
        <w:tc>
          <w:tcPr>
            <w:tcW w:type="dxa" w:w="120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color w:val="EF4444"/>
                <w:sz w:val="18"/>
                <w:szCs w:val="18"/>
              </w:rPr>
              <w:t xml:space="preserve">Phase 3</w:t>
            </w:r>
          </w:p>
        </w:tc>
        <w:tc>
          <w:tcPr>
            <w:tcW w:type="dxa" w:w="240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sz w:val="18"/>
                <w:szCs w:val="18"/>
              </w:rPr>
              <w:t xml:space="preserve">Decision Tree §5.3</w:t>
            </w:r>
          </w:p>
        </w:tc>
      </w:tr>
      <w:tr>
        <w:tc>
          <w:tcPr>
            <w:tcW w:type="dxa" w:w="900"/>
            <w:tcBorders>
              <w:top w:val="single" w:color="B0C4DE" w:sz="1"/>
              <w:left w:val="single" w:color="B0C4DE" w:sz="1"/>
              <w:bottom w:val="single" w:color="B0C4DE" w:sz="1"/>
              <w:right w:val="single" w:color="B0C4DE" w:sz="1"/>
            </w:tcBorders>
            <w:shd w:fill="F0F6FF" w:val="clear"/>
            <w:tcMar>
              <w:top w:type="dxa" w:w="60"/>
              <w:left w:type="dxa" w:w="100"/>
              <w:bottom w:type="dxa" w:w="60"/>
              <w:right w:type="dxa" w:w="100"/>
            </w:tcMar>
            <w:vAlign w:val="center"/>
          </w:tcPr>
          <w:p>
            <w:r>
              <w:rPr>
                <w:rFonts w:ascii="Arial" w:cs="Arial" w:eastAsia="Arial" w:hAnsi="Arial"/>
                <w:b/>
                <w:bCs/>
                <w:sz w:val="18"/>
                <w:szCs w:val="18"/>
              </w:rPr>
              <w:t xml:space="preserve">FR-18</w:t>
            </w:r>
          </w:p>
        </w:tc>
        <w:tc>
          <w:tcPr>
            <w:tcW w:type="dxa" w:w="2600"/>
            <w:tcBorders>
              <w:top w:val="single" w:color="B0C4DE" w:sz="1"/>
              <w:left w:val="single" w:color="B0C4DE" w:sz="1"/>
              <w:bottom w:val="single" w:color="B0C4DE" w:sz="1"/>
              <w:right w:val="single" w:color="B0C4DE" w:sz="1"/>
            </w:tcBorders>
            <w:shd w:fill="F0F6FF" w:val="clear"/>
            <w:tcMar>
              <w:top w:type="dxa" w:w="60"/>
              <w:left w:type="dxa" w:w="100"/>
              <w:bottom w:type="dxa" w:w="60"/>
              <w:right w:type="dxa" w:w="100"/>
            </w:tcMar>
            <w:vAlign w:val="center"/>
          </w:tcPr>
          <w:p>
            <w:r>
              <w:rPr>
                <w:rFonts w:ascii="Arial" w:cs="Arial" w:eastAsia="Arial" w:hAnsi="Arial"/>
                <w:b/>
                <w:bCs/>
                <w:sz w:val="18"/>
                <w:szCs w:val="18"/>
              </w:rPr>
              <w:t xml:space="preserve">External Data Integration</w:t>
            </w:r>
          </w:p>
        </w:tc>
        <w:tc>
          <w:tcPr>
            <w:tcW w:type="dxa" w:w="6340"/>
            <w:tcBorders>
              <w:top w:val="single" w:color="B0C4DE" w:sz="1"/>
              <w:left w:val="single" w:color="B0C4DE" w:sz="1"/>
              <w:bottom w:val="single" w:color="B0C4DE" w:sz="1"/>
              <w:right w:val="single" w:color="B0C4DE" w:sz="1"/>
            </w:tcBorders>
            <w:shd w:fill="F0F6FF" w:val="clear"/>
            <w:tcMar>
              <w:top w:type="dxa" w:w="60"/>
              <w:left w:type="dxa" w:w="100"/>
              <w:bottom w:type="dxa" w:w="60"/>
              <w:right w:type="dxa" w:w="100"/>
            </w:tcMar>
            <w:vAlign w:val="center"/>
          </w:tcPr>
          <w:p>
            <w:r>
              <w:rPr>
                <w:rFonts w:ascii="Arial" w:cs="Arial" w:eastAsia="Arial" w:hAnsi="Arial"/>
                <w:sz w:val="18"/>
                <w:szCs w:val="18"/>
              </w:rPr>
              <w:t xml:space="preserve">Ingest regulatory thresholds, FX rates, Pillar Two tracker, CFIUS stats from pre-approved sources. Auto-adjust risk flags and compliance requirements.</w:t>
            </w:r>
          </w:p>
        </w:tc>
        <w:tc>
          <w:tcPr>
            <w:tcW w:type="dxa" w:w="1200"/>
            <w:tcBorders>
              <w:top w:val="single" w:color="B0C4DE" w:sz="1"/>
              <w:left w:val="single" w:color="B0C4DE" w:sz="1"/>
              <w:bottom w:val="single" w:color="B0C4DE" w:sz="1"/>
              <w:right w:val="single" w:color="B0C4DE" w:sz="1"/>
            </w:tcBorders>
            <w:shd w:fill="F0F6FF" w:val="clear"/>
            <w:tcMar>
              <w:top w:type="dxa" w:w="60"/>
              <w:left w:type="dxa" w:w="100"/>
              <w:bottom w:type="dxa" w:w="60"/>
              <w:right w:type="dxa" w:w="100"/>
            </w:tcMar>
            <w:vAlign w:val="center"/>
          </w:tcPr>
          <w:p>
            <w:r>
              <w:rPr>
                <w:rFonts w:ascii="Arial" w:cs="Arial" w:eastAsia="Arial" w:hAnsi="Arial"/>
                <w:color w:val="EF4444"/>
                <w:sz w:val="18"/>
                <w:szCs w:val="18"/>
              </w:rPr>
              <w:t xml:space="preserve">Phase 3</w:t>
            </w:r>
          </w:p>
        </w:tc>
        <w:tc>
          <w:tcPr>
            <w:tcW w:type="dxa" w:w="2400"/>
            <w:tcBorders>
              <w:top w:val="single" w:color="B0C4DE" w:sz="1"/>
              <w:left w:val="single" w:color="B0C4DE" w:sz="1"/>
              <w:bottom w:val="single" w:color="B0C4DE" w:sz="1"/>
              <w:right w:val="single" w:color="B0C4DE" w:sz="1"/>
            </w:tcBorders>
            <w:shd w:fill="F0F6FF" w:val="clear"/>
            <w:tcMar>
              <w:top w:type="dxa" w:w="60"/>
              <w:left w:type="dxa" w:w="100"/>
              <w:bottom w:type="dxa" w:w="60"/>
              <w:right w:type="dxa" w:w="100"/>
            </w:tcMar>
            <w:vAlign w:val="center"/>
          </w:tcPr>
          <w:p>
            <w:r>
              <w:rPr>
                <w:rFonts w:ascii="Arial" w:cs="Arial" w:eastAsia="Arial" w:hAnsi="Arial"/>
                <w:sz w:val="18"/>
                <w:szCs w:val="18"/>
              </w:rPr>
              <w:t xml:space="preserve">Framework §8</w:t>
            </w:r>
          </w:p>
        </w:tc>
      </w:tr>
    </w:tbl>
    <w:p>
      <w:r>
        <w:br w:type="page"/>
      </w:r>
    </w:p>
    <w:p>
      <w:pPr>
        <w:pStyle w:val="Heading1"/>
      </w:pPr>
      <w:r>
        <w:rPr>
          <w:rFonts w:ascii="Arial" w:cs="Arial" w:eastAsia="Arial" w:hAnsi="Arial"/>
        </w:rPr>
        <w:t xml:space="preserve">4. Training Data Architecture &amp; LLM Knowledge Strategy</w:t>
      </w:r>
    </w:p>
    <w:p>
      <w:pPr>
        <w:spacing w:after="120"/>
      </w:pPr>
      <w:r>
        <w:rPr>
          <w:rFonts w:ascii="Arial" w:cs="Arial" w:eastAsia="Arial" w:hAnsi="Arial"/>
          <w:sz w:val="20"/>
          <w:szCs w:val="20"/>
        </w:rPr>
        <w:t xml:space="preserve">The M&amp;A Integration Engine requires domain-specific AI capabilities across deal structure reasoning, risk detection, regulatory awareness, and contextual guidance. This section defines the three-layer knowledge strategy and the discrete tooling for training data management.</w:t>
      </w:r>
    </w:p>
    <w:p>
      <w:pPr>
        <w:pStyle w:val="Heading2"/>
      </w:pPr>
      <w:r>
        <w:rPr>
          <w:rFonts w:ascii="Arial" w:cs="Arial" w:eastAsia="Arial" w:hAnsi="Arial"/>
        </w:rPr>
        <w:t xml:space="preserve">4.1 Knowledge Strategy: Three-Layer Approach</w:t>
      </w:r>
    </w:p>
    <w:p>
      <w:pPr>
        <w:spacing w:after="120"/>
      </w:pPr>
      <w:r>
        <w:rPr>
          <w:rFonts w:ascii="Arial" w:cs="Arial" w:eastAsia="Arial" w:hAnsi="Arial"/>
          <w:sz w:val="20"/>
          <w:szCs w:val="20"/>
        </w:rPr>
        <w:t xml:space="preserve">Based on current best practices for enterprise domain AI, the system uses a layered approach: structured prompt engineering as the foundation, RAG for dynamic knowledge retrieval, and reserved fine-tuning for future behavioral specialization.</w:t>
      </w:r>
    </w:p>
    <w:tbl>
      <w:tblPr>
        <w:tblW w:type="dxa" w:w="1344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3600"/>
        <w:gridCol w:w="1200"/>
        <w:gridCol w:w="2800"/>
        <w:gridCol w:w="2240"/>
      </w:tblGrid>
      <w:tr>
        <w:tc>
          <w:tcPr>
            <w:tcW w:type="dxa" w:w="2200"/>
            <w:tcBorders>
              <w:top w:val="single" w:color="B0C4DE" w:sz="1"/>
              <w:left w:val="single" w:color="B0C4DE" w:sz="1"/>
              <w:bottom w:val="single" w:color="B0C4DE" w:sz="1"/>
              <w:right w:val="single" w:color="B0C4DE" w:sz="1"/>
            </w:tcBorders>
            <w:shd w:fill="1E3A5F" w:val="clear"/>
            <w:tcMar>
              <w:top w:type="dxa" w:w="60"/>
              <w:left w:type="dxa" w:w="100"/>
              <w:bottom w:type="dxa" w:w="60"/>
              <w:right w:type="dxa" w:w="100"/>
            </w:tcMar>
            <w:vAlign w:val="center"/>
          </w:tcPr>
          <w:p>
            <w:r>
              <w:rPr>
                <w:rFonts w:ascii="Arial" w:cs="Arial" w:eastAsia="Arial" w:hAnsi="Arial"/>
                <w:b/>
                <w:bCs/>
                <w:color w:val="FFFFFF"/>
                <w:sz w:val="18"/>
                <w:szCs w:val="18"/>
              </w:rPr>
              <w:t xml:space="preserve">Layer</w:t>
            </w:r>
          </w:p>
        </w:tc>
        <w:tc>
          <w:tcPr>
            <w:tcW w:type="dxa" w:w="1400"/>
            <w:tcBorders>
              <w:top w:val="single" w:color="B0C4DE" w:sz="1"/>
              <w:left w:val="single" w:color="B0C4DE" w:sz="1"/>
              <w:bottom w:val="single" w:color="B0C4DE" w:sz="1"/>
              <w:right w:val="single" w:color="B0C4DE" w:sz="1"/>
            </w:tcBorders>
            <w:shd w:fill="1E3A5F" w:val="clear"/>
            <w:tcMar>
              <w:top w:type="dxa" w:w="60"/>
              <w:left w:type="dxa" w:w="100"/>
              <w:bottom w:type="dxa" w:w="60"/>
              <w:right w:type="dxa" w:w="100"/>
            </w:tcMar>
            <w:vAlign w:val="center"/>
          </w:tcPr>
          <w:p>
            <w:r>
              <w:rPr>
                <w:rFonts w:ascii="Arial" w:cs="Arial" w:eastAsia="Arial" w:hAnsi="Arial"/>
                <w:b/>
                <w:bCs/>
                <w:color w:val="FFFFFF"/>
                <w:sz w:val="18"/>
                <w:szCs w:val="18"/>
              </w:rPr>
              <w:t xml:space="preserve">Role</w:t>
            </w:r>
          </w:p>
        </w:tc>
        <w:tc>
          <w:tcPr>
            <w:tcW w:type="dxa" w:w="3600"/>
            <w:tcBorders>
              <w:top w:val="single" w:color="B0C4DE" w:sz="1"/>
              <w:left w:val="single" w:color="B0C4DE" w:sz="1"/>
              <w:bottom w:val="single" w:color="B0C4DE" w:sz="1"/>
              <w:right w:val="single" w:color="B0C4DE" w:sz="1"/>
            </w:tcBorders>
            <w:shd w:fill="1E3A5F" w:val="clear"/>
            <w:tcMar>
              <w:top w:type="dxa" w:w="60"/>
              <w:left w:type="dxa" w:w="100"/>
              <w:bottom w:type="dxa" w:w="60"/>
              <w:right w:type="dxa" w:w="100"/>
            </w:tcMar>
            <w:vAlign w:val="center"/>
          </w:tcPr>
          <w:p>
            <w:r>
              <w:rPr>
                <w:rFonts w:ascii="Arial" w:cs="Arial" w:eastAsia="Arial" w:hAnsi="Arial"/>
                <w:b/>
                <w:bCs/>
                <w:color w:val="FFFFFF"/>
                <w:sz w:val="18"/>
                <w:szCs w:val="18"/>
              </w:rPr>
              <w:t xml:space="preserve">Description</w:t>
            </w:r>
          </w:p>
        </w:tc>
        <w:tc>
          <w:tcPr>
            <w:tcW w:type="dxa" w:w="1200"/>
            <w:tcBorders>
              <w:top w:val="single" w:color="B0C4DE" w:sz="1"/>
              <w:left w:val="single" w:color="B0C4DE" w:sz="1"/>
              <w:bottom w:val="single" w:color="B0C4DE" w:sz="1"/>
              <w:right w:val="single" w:color="B0C4DE" w:sz="1"/>
            </w:tcBorders>
            <w:shd w:fill="1E3A5F" w:val="clear"/>
            <w:tcMar>
              <w:top w:type="dxa" w:w="60"/>
              <w:left w:type="dxa" w:w="100"/>
              <w:bottom w:type="dxa" w:w="60"/>
              <w:right w:type="dxa" w:w="100"/>
            </w:tcMar>
            <w:vAlign w:val="center"/>
          </w:tcPr>
          <w:p>
            <w:r>
              <w:rPr>
                <w:rFonts w:ascii="Arial" w:cs="Arial" w:eastAsia="Arial" w:hAnsi="Arial"/>
                <w:b/>
                <w:bCs/>
                <w:color w:val="FFFFFF"/>
                <w:sz w:val="18"/>
                <w:szCs w:val="18"/>
              </w:rPr>
              <w:t xml:space="preserve">Phase</w:t>
            </w:r>
          </w:p>
        </w:tc>
        <w:tc>
          <w:tcPr>
            <w:tcW w:type="dxa" w:w="2800"/>
            <w:tcBorders>
              <w:top w:val="single" w:color="B0C4DE" w:sz="1"/>
              <w:left w:val="single" w:color="B0C4DE" w:sz="1"/>
              <w:bottom w:val="single" w:color="B0C4DE" w:sz="1"/>
              <w:right w:val="single" w:color="B0C4DE" w:sz="1"/>
            </w:tcBorders>
            <w:shd w:fill="1E3A5F" w:val="clear"/>
            <w:tcMar>
              <w:top w:type="dxa" w:w="60"/>
              <w:left w:type="dxa" w:w="100"/>
              <w:bottom w:type="dxa" w:w="60"/>
              <w:right w:type="dxa" w:w="100"/>
            </w:tcMar>
            <w:vAlign w:val="center"/>
          </w:tcPr>
          <w:p>
            <w:r>
              <w:rPr>
                <w:rFonts w:ascii="Arial" w:cs="Arial" w:eastAsia="Arial" w:hAnsi="Arial"/>
                <w:b/>
                <w:bCs/>
                <w:color w:val="FFFFFF"/>
                <w:sz w:val="18"/>
                <w:szCs w:val="18"/>
              </w:rPr>
              <w:t xml:space="preserve">Rationale</w:t>
            </w:r>
          </w:p>
        </w:tc>
        <w:tc>
          <w:tcPr>
            <w:tcW w:type="dxa" w:w="2240"/>
            <w:tcBorders>
              <w:top w:val="single" w:color="B0C4DE" w:sz="1"/>
              <w:left w:val="single" w:color="B0C4DE" w:sz="1"/>
              <w:bottom w:val="single" w:color="B0C4DE" w:sz="1"/>
              <w:right w:val="single" w:color="B0C4DE" w:sz="1"/>
            </w:tcBorders>
            <w:shd w:fill="1E3A5F" w:val="clear"/>
            <w:tcMar>
              <w:top w:type="dxa" w:w="60"/>
              <w:left w:type="dxa" w:w="100"/>
              <w:bottom w:type="dxa" w:w="60"/>
              <w:right w:type="dxa" w:w="100"/>
            </w:tcMar>
            <w:vAlign w:val="center"/>
          </w:tcPr>
          <w:p>
            <w:r>
              <w:rPr>
                <w:rFonts w:ascii="Arial" w:cs="Arial" w:eastAsia="Arial" w:hAnsi="Arial"/>
                <w:b/>
                <w:bCs/>
                <w:color w:val="FFFFFF"/>
                <w:sz w:val="18"/>
                <w:szCs w:val="18"/>
              </w:rPr>
              <w:t xml:space="preserve">Implementation</w:t>
            </w:r>
          </w:p>
        </w:tc>
      </w:tr>
      <w:tr>
        <w:tc>
          <w:tcPr>
            <w:tcW w:type="dxa" w:w="220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b/>
                <w:bCs/>
                <w:sz w:val="18"/>
                <w:szCs w:val="18"/>
              </w:rPr>
              <w:t xml:space="preserve">Layer 1: Structured Prompt Engineering</w:t>
            </w:r>
          </w:p>
        </w:tc>
        <w:tc>
          <w:tcPr>
            <w:tcW w:type="dxa" w:w="140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sz w:val="18"/>
                <w:szCs w:val="18"/>
              </w:rPr>
              <w:t xml:space="preserve">Foundation</w:t>
            </w:r>
          </w:p>
        </w:tc>
        <w:tc>
          <w:tcPr>
            <w:tcW w:type="dxa" w:w="360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sz w:val="18"/>
                <w:szCs w:val="18"/>
              </w:rPr>
              <w:t xml:space="preserve">System prompts encode Training Model Framework knowledge directly. Decision tree logic, risk taxonomy rules, and guidance templates compiled into structured prompts. JSON mode for consistent outputs.</w:t>
            </w:r>
          </w:p>
        </w:tc>
        <w:tc>
          <w:tcPr>
            <w:tcW w:type="dxa" w:w="120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sz w:val="18"/>
                <w:szCs w:val="18"/>
              </w:rPr>
              <w:t xml:space="preserve">Phase 1 (MVP)</w:t>
            </w:r>
          </w:p>
        </w:tc>
        <w:tc>
          <w:tcPr>
            <w:tcW w:type="dxa" w:w="280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sz w:val="18"/>
                <w:szCs w:val="18"/>
              </w:rPr>
              <w:t xml:space="preserve">Lowest cost; fastest iteration; no infrastructure beyond Claude API. Domain knowledge changes require only prompt updates, not model retraining.</w:t>
            </w:r>
          </w:p>
        </w:tc>
        <w:tc>
          <w:tcPr>
            <w:tcW w:type="dxa" w:w="224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sz w:val="18"/>
                <w:szCs w:val="18"/>
              </w:rPr>
              <w:t xml:space="preserve">System prompt library stored in guidance_library table. Template variables bind to deal context (sector, jurisdiction, structure). Version-controlled prompt sets per release.</w:t>
            </w:r>
          </w:p>
        </w:tc>
      </w:tr>
      <w:tr>
        <w:tc>
          <w:tcPr>
            <w:tcW w:type="dxa" w:w="2200"/>
            <w:tcBorders>
              <w:top w:val="single" w:color="B0C4DE" w:sz="1"/>
              <w:left w:val="single" w:color="B0C4DE" w:sz="1"/>
              <w:bottom w:val="single" w:color="B0C4DE" w:sz="1"/>
              <w:right w:val="single" w:color="B0C4DE" w:sz="1"/>
            </w:tcBorders>
            <w:shd w:fill="F0F6FF" w:val="clear"/>
            <w:tcMar>
              <w:top w:type="dxa" w:w="60"/>
              <w:left w:type="dxa" w:w="100"/>
              <w:bottom w:type="dxa" w:w="60"/>
              <w:right w:type="dxa" w:w="100"/>
            </w:tcMar>
            <w:vAlign w:val="center"/>
          </w:tcPr>
          <w:p>
            <w:r>
              <w:rPr>
                <w:rFonts w:ascii="Arial" w:cs="Arial" w:eastAsia="Arial" w:hAnsi="Arial"/>
                <w:b/>
                <w:bCs/>
                <w:sz w:val="18"/>
                <w:szCs w:val="18"/>
              </w:rPr>
              <w:t xml:space="preserve">Layer 2: RAG (Retrieval-Augmented Generation)</w:t>
            </w:r>
          </w:p>
        </w:tc>
        <w:tc>
          <w:tcPr>
            <w:tcW w:type="dxa" w:w="1400"/>
            <w:tcBorders>
              <w:top w:val="single" w:color="B0C4DE" w:sz="1"/>
              <w:left w:val="single" w:color="B0C4DE" w:sz="1"/>
              <w:bottom w:val="single" w:color="B0C4DE" w:sz="1"/>
              <w:right w:val="single" w:color="B0C4DE" w:sz="1"/>
            </w:tcBorders>
            <w:shd w:fill="F0F6FF" w:val="clear"/>
            <w:tcMar>
              <w:top w:type="dxa" w:w="60"/>
              <w:left w:type="dxa" w:w="100"/>
              <w:bottom w:type="dxa" w:w="60"/>
              <w:right w:type="dxa" w:w="100"/>
            </w:tcMar>
            <w:vAlign w:val="center"/>
          </w:tcPr>
          <w:p>
            <w:r>
              <w:rPr>
                <w:rFonts w:ascii="Arial" w:cs="Arial" w:eastAsia="Arial" w:hAnsi="Arial"/>
                <w:sz w:val="18"/>
                <w:szCs w:val="18"/>
              </w:rPr>
              <w:t xml:space="preserve">Knowledge Augmentation</w:t>
            </w:r>
          </w:p>
        </w:tc>
        <w:tc>
          <w:tcPr>
            <w:tcW w:type="dxa" w:w="3600"/>
            <w:tcBorders>
              <w:top w:val="single" w:color="B0C4DE" w:sz="1"/>
              <w:left w:val="single" w:color="B0C4DE" w:sz="1"/>
              <w:bottom w:val="single" w:color="B0C4DE" w:sz="1"/>
              <w:right w:val="single" w:color="B0C4DE" w:sz="1"/>
            </w:tcBorders>
            <w:shd w:fill="F0F6FF" w:val="clear"/>
            <w:tcMar>
              <w:top w:type="dxa" w:w="60"/>
              <w:left w:type="dxa" w:w="100"/>
              <w:bottom w:type="dxa" w:w="60"/>
              <w:right w:type="dxa" w:w="100"/>
            </w:tcMar>
            <w:vAlign w:val="center"/>
          </w:tcPr>
          <w:p>
            <w:r>
              <w:rPr>
                <w:rFonts w:ascii="Arial" w:cs="Arial" w:eastAsia="Arial" w:hAnsi="Arial"/>
                <w:sz w:val="18"/>
                <w:szCs w:val="18"/>
              </w:rPr>
              <w:t xml:space="preserve">Vector embeddings of authoritative M&amp;A sources, regulatory guidance, TSA benchmarks, and deal document corpus. pgvector in Neon enables semantic search alongside relational data in a single database.</w:t>
            </w:r>
          </w:p>
        </w:tc>
        <w:tc>
          <w:tcPr>
            <w:tcW w:type="dxa" w:w="1200"/>
            <w:tcBorders>
              <w:top w:val="single" w:color="B0C4DE" w:sz="1"/>
              <w:left w:val="single" w:color="B0C4DE" w:sz="1"/>
              <w:bottom w:val="single" w:color="B0C4DE" w:sz="1"/>
              <w:right w:val="single" w:color="B0C4DE" w:sz="1"/>
            </w:tcBorders>
            <w:shd w:fill="F0F6FF" w:val="clear"/>
            <w:tcMar>
              <w:top w:type="dxa" w:w="60"/>
              <w:left w:type="dxa" w:w="100"/>
              <w:bottom w:type="dxa" w:w="60"/>
              <w:right w:type="dxa" w:w="100"/>
            </w:tcMar>
            <w:vAlign w:val="center"/>
          </w:tcPr>
          <w:p>
            <w:r>
              <w:rPr>
                <w:rFonts w:ascii="Arial" w:cs="Arial" w:eastAsia="Arial" w:hAnsi="Arial"/>
                <w:sz w:val="18"/>
                <w:szCs w:val="18"/>
              </w:rPr>
              <w:t xml:space="preserve">Phase 2–3</w:t>
            </w:r>
          </w:p>
        </w:tc>
        <w:tc>
          <w:tcPr>
            <w:tcW w:type="dxa" w:w="2800"/>
            <w:tcBorders>
              <w:top w:val="single" w:color="B0C4DE" w:sz="1"/>
              <w:left w:val="single" w:color="B0C4DE" w:sz="1"/>
              <w:bottom w:val="single" w:color="B0C4DE" w:sz="1"/>
              <w:right w:val="single" w:color="B0C4DE" w:sz="1"/>
            </w:tcBorders>
            <w:shd w:fill="F0F6FF" w:val="clear"/>
            <w:tcMar>
              <w:top w:type="dxa" w:w="60"/>
              <w:left w:type="dxa" w:w="100"/>
              <w:bottom w:type="dxa" w:w="60"/>
              <w:right w:type="dxa" w:w="100"/>
            </w:tcMar>
            <w:vAlign w:val="center"/>
          </w:tcPr>
          <w:p>
            <w:r>
              <w:rPr>
                <w:rFonts w:ascii="Arial" w:cs="Arial" w:eastAsia="Arial" w:hAnsi="Arial"/>
                <w:sz w:val="18"/>
                <w:szCs w:val="18"/>
              </w:rPr>
              <w:t xml:space="preserve">Grounds AI responses in verified sources; reduces hallucination; supports real-time knowledge updates without retraining. Neon pgvector eliminates need for separate vector database.</w:t>
            </w:r>
          </w:p>
        </w:tc>
        <w:tc>
          <w:tcPr>
            <w:tcW w:type="dxa" w:w="2240"/>
            <w:tcBorders>
              <w:top w:val="single" w:color="B0C4DE" w:sz="1"/>
              <w:left w:val="single" w:color="B0C4DE" w:sz="1"/>
              <w:bottom w:val="single" w:color="B0C4DE" w:sz="1"/>
              <w:right w:val="single" w:color="B0C4DE" w:sz="1"/>
            </w:tcBorders>
            <w:shd w:fill="F0F6FF" w:val="clear"/>
            <w:tcMar>
              <w:top w:type="dxa" w:w="60"/>
              <w:left w:type="dxa" w:w="100"/>
              <w:bottom w:type="dxa" w:w="60"/>
              <w:right w:type="dxa" w:w="100"/>
            </w:tcMar>
            <w:vAlign w:val="center"/>
          </w:tcPr>
          <w:p>
            <w:r>
              <w:rPr>
                <w:rFonts w:ascii="Arial" w:cs="Arial" w:eastAsia="Arial" w:hAnsi="Arial"/>
                <w:sz w:val="18"/>
                <w:szCs w:val="18"/>
              </w:rPr>
              <w:t xml:space="preserve">Document chunking (512 tokens optimal). Embedding via OpenAI text-embedding-3-small. HNSW indexing for fast ANN search. Hybrid retrieval: vector similarity + SQL WHERE filters.</w:t>
            </w:r>
          </w:p>
        </w:tc>
      </w:tr>
      <w:tr>
        <w:tc>
          <w:tcPr>
            <w:tcW w:type="dxa" w:w="220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b/>
                <w:bCs/>
                <w:sz w:val="18"/>
                <w:szCs w:val="18"/>
              </w:rPr>
              <w:t xml:space="preserve">Layer 3: Fine-Tuning (Reserved)</w:t>
            </w:r>
          </w:p>
        </w:tc>
        <w:tc>
          <w:tcPr>
            <w:tcW w:type="dxa" w:w="140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sz w:val="18"/>
                <w:szCs w:val="18"/>
              </w:rPr>
              <w:t xml:space="preserve">Behavioral Specialization</w:t>
            </w:r>
          </w:p>
        </w:tc>
        <w:tc>
          <w:tcPr>
            <w:tcW w:type="dxa" w:w="360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sz w:val="18"/>
                <w:szCs w:val="18"/>
              </w:rPr>
              <w:t xml:space="preserve">Reserved for future state when prompt engineering and RAG hit performance ceilings. Potential use cases: consistent M&amp;A-specific classification (deal type routing), multi-step reasoning for complex cross-border scenarios, specialized output formatting.</w:t>
            </w:r>
          </w:p>
        </w:tc>
        <w:tc>
          <w:tcPr>
            <w:tcW w:type="dxa" w:w="120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sz w:val="18"/>
                <w:szCs w:val="18"/>
              </w:rPr>
              <w:t xml:space="preserve">Phase 3+</w:t>
            </w:r>
          </w:p>
        </w:tc>
        <w:tc>
          <w:tcPr>
            <w:tcW w:type="dxa" w:w="280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sz w:val="18"/>
                <w:szCs w:val="18"/>
              </w:rPr>
              <w:t xml:space="preserve">Only justified when: (a) prompt engineering fails on consistent classification, (b) RAG retrieval quality plateaus, (c) measurable ROI demonstrated. Estimated 6+ weeks preparation plus ongoing maintenance.</w:t>
            </w:r>
          </w:p>
        </w:tc>
        <w:tc>
          <w:tcPr>
            <w:tcW w:type="dxa" w:w="224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sz w:val="18"/>
                <w:szCs w:val="18"/>
              </w:rPr>
              <w:t xml:space="preserve">Requires labeled dataset of M&amp;A scenarios (minimum 500–1,000 examples). PEFT/LoRA approach to minimize catastrophic forgetting. Periodic retraining cadence TBD.</w:t>
            </w:r>
          </w:p>
        </w:tc>
      </w:tr>
    </w:tbl>
    <w:p>
      <w:r>
        <w:br w:type="page"/>
      </w:r>
    </w:p>
    <w:p>
      <w:pPr>
        <w:pStyle w:val="Heading2"/>
      </w:pPr>
      <w:r>
        <w:rPr>
          <w:rFonts w:ascii="Arial" w:cs="Arial" w:eastAsia="Arial" w:hAnsi="Arial"/>
        </w:rPr>
        <w:t xml:space="preserve">4.2 Training Data Housing Strategy</w:t>
      </w:r>
    </w:p>
    <w:p>
      <w:pPr>
        <w:spacing w:after="120"/>
      </w:pPr>
      <w:r>
        <w:rPr>
          <w:rFonts w:ascii="Arial" w:cs="Arial" w:eastAsia="Arial" w:hAnsi="Arial"/>
          <w:sz w:val="20"/>
          <w:szCs w:val="20"/>
        </w:rPr>
        <w:t xml:space="preserve">All training data lives within the Neon PostgreSQL ecosystem, leveraging JSONB for flexible schema and pgvector for embeddings. This unified approach eliminates the need for separate vector databases, reduces infrastructure complexity, and enables atomic transactions across structured deal data and unstructured knowledge content.</w:t>
      </w:r>
    </w:p>
    <w:tbl>
      <w:tblPr>
        <w:tblW w:type="dxa" w:w="1344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1600"/>
        <w:gridCol w:w="3440"/>
        <w:gridCol w:w="1200"/>
        <w:gridCol w:w="2800"/>
      </w:tblGrid>
      <w:tr>
        <w:tc>
          <w:tcPr>
            <w:tcW w:type="dxa" w:w="2000"/>
            <w:tcBorders>
              <w:top w:val="single" w:color="B0C4DE" w:sz="1"/>
              <w:left w:val="single" w:color="B0C4DE" w:sz="1"/>
              <w:bottom w:val="single" w:color="B0C4DE" w:sz="1"/>
              <w:right w:val="single" w:color="B0C4DE" w:sz="1"/>
            </w:tcBorders>
            <w:shd w:fill="1E3A5F" w:val="clear"/>
            <w:tcMar>
              <w:top w:type="dxa" w:w="60"/>
              <w:left w:type="dxa" w:w="100"/>
              <w:bottom w:type="dxa" w:w="60"/>
              <w:right w:type="dxa" w:w="100"/>
            </w:tcMar>
            <w:vAlign w:val="center"/>
          </w:tcPr>
          <w:p>
            <w:r>
              <w:rPr>
                <w:rFonts w:ascii="Arial" w:cs="Arial" w:eastAsia="Arial" w:hAnsi="Arial"/>
                <w:b/>
                <w:bCs/>
                <w:color w:val="FFFFFF"/>
                <w:sz w:val="18"/>
                <w:szCs w:val="18"/>
              </w:rPr>
              <w:t xml:space="preserve">Data Category</w:t>
            </w:r>
          </w:p>
        </w:tc>
        <w:tc>
          <w:tcPr>
            <w:tcW w:type="dxa" w:w="2400"/>
            <w:tcBorders>
              <w:top w:val="single" w:color="B0C4DE" w:sz="1"/>
              <w:left w:val="single" w:color="B0C4DE" w:sz="1"/>
              <w:bottom w:val="single" w:color="B0C4DE" w:sz="1"/>
              <w:right w:val="single" w:color="B0C4DE" w:sz="1"/>
            </w:tcBorders>
            <w:shd w:fill="1E3A5F" w:val="clear"/>
            <w:tcMar>
              <w:top w:type="dxa" w:w="60"/>
              <w:left w:type="dxa" w:w="100"/>
              <w:bottom w:type="dxa" w:w="60"/>
              <w:right w:type="dxa" w:w="100"/>
            </w:tcMar>
            <w:vAlign w:val="center"/>
          </w:tcPr>
          <w:p>
            <w:r>
              <w:rPr>
                <w:rFonts w:ascii="Arial" w:cs="Arial" w:eastAsia="Arial" w:hAnsi="Arial"/>
                <w:b/>
                <w:bCs/>
                <w:color w:val="FFFFFF"/>
                <w:sz w:val="18"/>
                <w:szCs w:val="18"/>
              </w:rPr>
              <w:t xml:space="preserve">Tables</w:t>
            </w:r>
          </w:p>
        </w:tc>
        <w:tc>
          <w:tcPr>
            <w:tcW w:type="dxa" w:w="1600"/>
            <w:tcBorders>
              <w:top w:val="single" w:color="B0C4DE" w:sz="1"/>
              <w:left w:val="single" w:color="B0C4DE" w:sz="1"/>
              <w:bottom w:val="single" w:color="B0C4DE" w:sz="1"/>
              <w:right w:val="single" w:color="B0C4DE" w:sz="1"/>
            </w:tcBorders>
            <w:shd w:fill="1E3A5F" w:val="clear"/>
            <w:tcMar>
              <w:top w:type="dxa" w:w="60"/>
              <w:left w:type="dxa" w:w="100"/>
              <w:bottom w:type="dxa" w:w="60"/>
              <w:right w:type="dxa" w:w="100"/>
            </w:tcMar>
            <w:vAlign w:val="center"/>
          </w:tcPr>
          <w:p>
            <w:r>
              <w:rPr>
                <w:rFonts w:ascii="Arial" w:cs="Arial" w:eastAsia="Arial" w:hAnsi="Arial"/>
                <w:b/>
                <w:bCs/>
                <w:color w:val="FFFFFF"/>
                <w:sz w:val="18"/>
                <w:szCs w:val="18"/>
              </w:rPr>
              <w:t xml:space="preserve">Storage Type</w:t>
            </w:r>
          </w:p>
        </w:tc>
        <w:tc>
          <w:tcPr>
            <w:tcW w:type="dxa" w:w="3440"/>
            <w:tcBorders>
              <w:top w:val="single" w:color="B0C4DE" w:sz="1"/>
              <w:left w:val="single" w:color="B0C4DE" w:sz="1"/>
              <w:bottom w:val="single" w:color="B0C4DE" w:sz="1"/>
              <w:right w:val="single" w:color="B0C4DE" w:sz="1"/>
            </w:tcBorders>
            <w:shd w:fill="1E3A5F" w:val="clear"/>
            <w:tcMar>
              <w:top w:type="dxa" w:w="60"/>
              <w:left w:type="dxa" w:w="100"/>
              <w:bottom w:type="dxa" w:w="60"/>
              <w:right w:type="dxa" w:w="100"/>
            </w:tcMar>
            <w:vAlign w:val="center"/>
          </w:tcPr>
          <w:p>
            <w:r>
              <w:rPr>
                <w:rFonts w:ascii="Arial" w:cs="Arial" w:eastAsia="Arial" w:hAnsi="Arial"/>
                <w:b/>
                <w:bCs/>
                <w:color w:val="FFFFFF"/>
                <w:sz w:val="18"/>
                <w:szCs w:val="18"/>
              </w:rPr>
              <w:t xml:space="preserve">Content</w:t>
            </w:r>
          </w:p>
        </w:tc>
        <w:tc>
          <w:tcPr>
            <w:tcW w:type="dxa" w:w="1200"/>
            <w:tcBorders>
              <w:top w:val="single" w:color="B0C4DE" w:sz="1"/>
              <w:left w:val="single" w:color="B0C4DE" w:sz="1"/>
              <w:bottom w:val="single" w:color="B0C4DE" w:sz="1"/>
              <w:right w:val="single" w:color="B0C4DE" w:sz="1"/>
            </w:tcBorders>
            <w:shd w:fill="1E3A5F" w:val="clear"/>
            <w:tcMar>
              <w:top w:type="dxa" w:w="60"/>
              <w:left w:type="dxa" w:w="100"/>
              <w:bottom w:type="dxa" w:w="60"/>
              <w:right w:type="dxa" w:w="100"/>
            </w:tcMar>
            <w:vAlign w:val="center"/>
          </w:tcPr>
          <w:p>
            <w:r>
              <w:rPr>
                <w:rFonts w:ascii="Arial" w:cs="Arial" w:eastAsia="Arial" w:hAnsi="Arial"/>
                <w:b/>
                <w:bCs/>
                <w:color w:val="FFFFFF"/>
                <w:sz w:val="18"/>
                <w:szCs w:val="18"/>
              </w:rPr>
              <w:t xml:space="preserve">Phase</w:t>
            </w:r>
          </w:p>
        </w:tc>
        <w:tc>
          <w:tcPr>
            <w:tcW w:type="dxa" w:w="2800"/>
            <w:tcBorders>
              <w:top w:val="single" w:color="B0C4DE" w:sz="1"/>
              <w:left w:val="single" w:color="B0C4DE" w:sz="1"/>
              <w:bottom w:val="single" w:color="B0C4DE" w:sz="1"/>
              <w:right w:val="single" w:color="B0C4DE" w:sz="1"/>
            </w:tcBorders>
            <w:shd w:fill="1E3A5F" w:val="clear"/>
            <w:tcMar>
              <w:top w:type="dxa" w:w="60"/>
              <w:left w:type="dxa" w:w="100"/>
              <w:bottom w:type="dxa" w:w="60"/>
              <w:right w:type="dxa" w:w="100"/>
            </w:tcMar>
            <w:vAlign w:val="center"/>
          </w:tcPr>
          <w:p>
            <w:r>
              <w:rPr>
                <w:rFonts w:ascii="Arial" w:cs="Arial" w:eastAsia="Arial" w:hAnsi="Arial"/>
                <w:b/>
                <w:bCs/>
                <w:color w:val="FFFFFF"/>
                <w:sz w:val="18"/>
                <w:szCs w:val="18"/>
              </w:rPr>
              <w:t xml:space="preserve">Ingestion Method</w:t>
            </w:r>
          </w:p>
        </w:tc>
      </w:tr>
      <w:tr>
        <w:tc>
          <w:tcPr>
            <w:tcW w:type="dxa" w:w="200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b/>
                <w:bCs/>
                <w:sz w:val="18"/>
                <w:szCs w:val="18"/>
              </w:rPr>
              <w:t xml:space="preserve">Structured Knowledge</w:t>
            </w:r>
          </w:p>
        </w:tc>
        <w:tc>
          <w:tcPr>
            <w:tcW w:type="dxa" w:w="240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sz w:val="18"/>
                <w:szCs w:val="18"/>
              </w:rPr>
              <w:t xml:space="preserve">config.risk_rules
config.guidance_library</w:t>
            </w:r>
          </w:p>
        </w:tc>
        <w:tc>
          <w:tcPr>
            <w:tcW w:type="dxa" w:w="160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sz w:val="18"/>
                <w:szCs w:val="18"/>
              </w:rPr>
              <w:t xml:space="preserve">JSONB</w:t>
            </w:r>
          </w:p>
        </w:tc>
        <w:tc>
          <w:tcPr>
            <w:tcW w:type="dxa" w:w="344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sz w:val="18"/>
                <w:szCs w:val="18"/>
              </w:rPr>
              <w:t xml:space="preserve">Risk detection predicates, AI prompt templates, decision tree logic. Pre-loaded from Training Model Framework.</w:t>
            </w:r>
          </w:p>
        </w:tc>
        <w:tc>
          <w:tcPr>
            <w:tcW w:type="dxa" w:w="120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sz w:val="18"/>
                <w:szCs w:val="18"/>
              </w:rPr>
              <w:t xml:space="preserve">Phase 1</w:t>
            </w:r>
          </w:p>
        </w:tc>
        <w:tc>
          <w:tcPr>
            <w:tcW w:type="dxa" w:w="280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sz w:val="18"/>
                <w:szCs w:val="18"/>
              </w:rPr>
              <w:t xml:space="preserve">JSON import scripts; version-controlled seed files; manual review process</w:t>
            </w:r>
          </w:p>
        </w:tc>
      </w:tr>
      <w:tr>
        <w:tc>
          <w:tcPr>
            <w:tcW w:type="dxa" w:w="2000"/>
            <w:tcBorders>
              <w:top w:val="single" w:color="B0C4DE" w:sz="1"/>
              <w:left w:val="single" w:color="B0C4DE" w:sz="1"/>
              <w:bottom w:val="single" w:color="B0C4DE" w:sz="1"/>
              <w:right w:val="single" w:color="B0C4DE" w:sz="1"/>
            </w:tcBorders>
            <w:shd w:fill="F0F6FF" w:val="clear"/>
            <w:tcMar>
              <w:top w:type="dxa" w:w="60"/>
              <w:left w:type="dxa" w:w="100"/>
              <w:bottom w:type="dxa" w:w="60"/>
              <w:right w:type="dxa" w:w="100"/>
            </w:tcMar>
            <w:vAlign w:val="center"/>
          </w:tcPr>
          <w:p>
            <w:r>
              <w:rPr>
                <w:rFonts w:ascii="Arial" w:cs="Arial" w:eastAsia="Arial" w:hAnsi="Arial"/>
                <w:b/>
                <w:bCs/>
                <w:sz w:val="18"/>
                <w:szCs w:val="18"/>
              </w:rPr>
              <w:t xml:space="preserve">Deal Context Data</w:t>
            </w:r>
          </w:p>
        </w:tc>
        <w:tc>
          <w:tcPr>
            <w:tcW w:type="dxa" w:w="2400"/>
            <w:tcBorders>
              <w:top w:val="single" w:color="B0C4DE" w:sz="1"/>
              <w:left w:val="single" w:color="B0C4DE" w:sz="1"/>
              <w:bottom w:val="single" w:color="B0C4DE" w:sz="1"/>
              <w:right w:val="single" w:color="B0C4DE" w:sz="1"/>
            </w:tcBorders>
            <w:shd w:fill="F0F6FF" w:val="clear"/>
            <w:tcMar>
              <w:top w:type="dxa" w:w="60"/>
              <w:left w:type="dxa" w:w="100"/>
              <w:bottom w:type="dxa" w:w="60"/>
              <w:right w:type="dxa" w:w="100"/>
            </w:tcMar>
            <w:vAlign w:val="center"/>
          </w:tcPr>
          <w:p>
            <w:r>
              <w:rPr>
                <w:rFonts w:ascii="Arial" w:cs="Arial" w:eastAsia="Arial" w:hAnsi="Arial"/>
                <w:sz w:val="18"/>
                <w:szCs w:val="18"/>
              </w:rPr>
              <w:t xml:space="preserve">public.deals
public.checklist_items</w:t>
            </w:r>
          </w:p>
        </w:tc>
        <w:tc>
          <w:tcPr>
            <w:tcW w:type="dxa" w:w="1600"/>
            <w:tcBorders>
              <w:top w:val="single" w:color="B0C4DE" w:sz="1"/>
              <w:left w:val="single" w:color="B0C4DE" w:sz="1"/>
              <w:bottom w:val="single" w:color="B0C4DE" w:sz="1"/>
              <w:right w:val="single" w:color="B0C4DE" w:sz="1"/>
            </w:tcBorders>
            <w:shd w:fill="F0F6FF" w:val="clear"/>
            <w:tcMar>
              <w:top w:type="dxa" w:w="60"/>
              <w:left w:type="dxa" w:w="100"/>
              <w:bottom w:type="dxa" w:w="60"/>
              <w:right w:type="dxa" w:w="100"/>
            </w:tcMar>
            <w:vAlign w:val="center"/>
          </w:tcPr>
          <w:p>
            <w:r>
              <w:rPr>
                <w:rFonts w:ascii="Arial" w:cs="Arial" w:eastAsia="Arial" w:hAnsi="Arial"/>
                <w:sz w:val="18"/>
                <w:szCs w:val="18"/>
              </w:rPr>
              <w:t xml:space="preserve">JSONB + Relational</w:t>
            </w:r>
          </w:p>
        </w:tc>
        <w:tc>
          <w:tcPr>
            <w:tcW w:type="dxa" w:w="3440"/>
            <w:tcBorders>
              <w:top w:val="single" w:color="B0C4DE" w:sz="1"/>
              <w:left w:val="single" w:color="B0C4DE" w:sz="1"/>
              <w:bottom w:val="single" w:color="B0C4DE" w:sz="1"/>
              <w:right w:val="single" w:color="B0C4DE" w:sz="1"/>
            </w:tcBorders>
            <w:shd w:fill="F0F6FF" w:val="clear"/>
            <w:tcMar>
              <w:top w:type="dxa" w:w="60"/>
              <w:left w:type="dxa" w:w="100"/>
              <w:bottom w:type="dxa" w:w="60"/>
              <w:right w:type="dxa" w:w="100"/>
            </w:tcMar>
            <w:vAlign w:val="center"/>
          </w:tcPr>
          <w:p>
            <w:r>
              <w:rPr>
                <w:rFonts w:ascii="Arial" w:cs="Arial" w:eastAsia="Arial" w:hAnsi="Arial"/>
                <w:sz w:val="18"/>
                <w:szCs w:val="18"/>
              </w:rPr>
              <w:t xml:space="preserve">Live deal state including intake responses, checklist status, dependencies. Provides real-time context for AI reasoning.</w:t>
            </w:r>
          </w:p>
        </w:tc>
        <w:tc>
          <w:tcPr>
            <w:tcW w:type="dxa" w:w="1200"/>
            <w:tcBorders>
              <w:top w:val="single" w:color="B0C4DE" w:sz="1"/>
              <w:left w:val="single" w:color="B0C4DE" w:sz="1"/>
              <w:bottom w:val="single" w:color="B0C4DE" w:sz="1"/>
              <w:right w:val="single" w:color="B0C4DE" w:sz="1"/>
            </w:tcBorders>
            <w:shd w:fill="F0F6FF" w:val="clear"/>
            <w:tcMar>
              <w:top w:type="dxa" w:w="60"/>
              <w:left w:type="dxa" w:w="100"/>
              <w:bottom w:type="dxa" w:w="60"/>
              <w:right w:type="dxa" w:w="100"/>
            </w:tcMar>
            <w:vAlign w:val="center"/>
          </w:tcPr>
          <w:p>
            <w:r>
              <w:rPr>
                <w:rFonts w:ascii="Arial" w:cs="Arial" w:eastAsia="Arial" w:hAnsi="Arial"/>
                <w:sz w:val="18"/>
                <w:szCs w:val="18"/>
              </w:rPr>
              <w:t xml:space="preserve">Phase 1</w:t>
            </w:r>
          </w:p>
        </w:tc>
        <w:tc>
          <w:tcPr>
            <w:tcW w:type="dxa" w:w="2800"/>
            <w:tcBorders>
              <w:top w:val="single" w:color="B0C4DE" w:sz="1"/>
              <w:left w:val="single" w:color="B0C4DE" w:sz="1"/>
              <w:bottom w:val="single" w:color="B0C4DE" w:sz="1"/>
              <w:right w:val="single" w:color="B0C4DE" w:sz="1"/>
            </w:tcBorders>
            <w:shd w:fill="F0F6FF" w:val="clear"/>
            <w:tcMar>
              <w:top w:type="dxa" w:w="60"/>
              <w:left w:type="dxa" w:w="100"/>
              <w:bottom w:type="dxa" w:w="60"/>
              <w:right w:type="dxa" w:w="100"/>
            </w:tcMar>
            <w:vAlign w:val="center"/>
          </w:tcPr>
          <w:p>
            <w:r>
              <w:rPr>
                <w:rFonts w:ascii="Arial" w:cs="Arial" w:eastAsia="Arial" w:hAnsi="Arial"/>
                <w:sz w:val="18"/>
                <w:szCs w:val="18"/>
              </w:rPr>
              <w:t xml:space="preserve">API-driven; PostgreSQL triggers for state changes; materialized views for aggregation</w:t>
            </w:r>
          </w:p>
        </w:tc>
      </w:tr>
      <w:tr>
        <w:tc>
          <w:tcPr>
            <w:tcW w:type="dxa" w:w="200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b/>
                <w:bCs/>
                <w:sz w:val="18"/>
                <w:szCs w:val="18"/>
              </w:rPr>
              <w:t xml:space="preserve">Audit &amp; Feedback Loop</w:t>
            </w:r>
          </w:p>
        </w:tc>
        <w:tc>
          <w:tcPr>
            <w:tcW w:type="dxa" w:w="240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sz w:val="18"/>
                <w:szCs w:val="18"/>
              </w:rPr>
              <w:t xml:space="preserve">audit.status_history
audit.ai_feedback</w:t>
            </w:r>
          </w:p>
        </w:tc>
        <w:tc>
          <w:tcPr>
            <w:tcW w:type="dxa" w:w="160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sz w:val="18"/>
                <w:szCs w:val="18"/>
              </w:rPr>
              <w:t xml:space="preserve">Append-only</w:t>
            </w:r>
          </w:p>
        </w:tc>
        <w:tc>
          <w:tcPr>
            <w:tcW w:type="dxa" w:w="344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sz w:val="18"/>
                <w:szCs w:val="18"/>
              </w:rPr>
              <w:t xml:space="preserve">All state transitions, AI recommendation accept/reject decisions. Creates labeled dataset for future fine-tuning.</w:t>
            </w:r>
          </w:p>
        </w:tc>
        <w:tc>
          <w:tcPr>
            <w:tcW w:type="dxa" w:w="120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sz w:val="18"/>
                <w:szCs w:val="18"/>
              </w:rPr>
              <w:t xml:space="preserve">Phase 1–2</w:t>
            </w:r>
          </w:p>
        </w:tc>
        <w:tc>
          <w:tcPr>
            <w:tcW w:type="dxa" w:w="280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sz w:val="18"/>
                <w:szCs w:val="18"/>
              </w:rPr>
              <w:t xml:space="preserve">PostgreSQL triggers auto-capture; immutable append-only tables; export pipeline for training data extraction</w:t>
            </w:r>
          </w:p>
        </w:tc>
      </w:tr>
      <w:tr>
        <w:tc>
          <w:tcPr>
            <w:tcW w:type="dxa" w:w="2000"/>
            <w:tcBorders>
              <w:top w:val="single" w:color="B0C4DE" w:sz="1"/>
              <w:left w:val="single" w:color="B0C4DE" w:sz="1"/>
              <w:bottom w:val="single" w:color="B0C4DE" w:sz="1"/>
              <w:right w:val="single" w:color="B0C4DE" w:sz="1"/>
            </w:tcBorders>
            <w:shd w:fill="F0F6FF" w:val="clear"/>
            <w:tcMar>
              <w:top w:type="dxa" w:w="60"/>
              <w:left w:type="dxa" w:w="100"/>
              <w:bottom w:type="dxa" w:w="60"/>
              <w:right w:type="dxa" w:w="100"/>
            </w:tcMar>
            <w:vAlign w:val="center"/>
          </w:tcPr>
          <w:p>
            <w:r>
              <w:rPr>
                <w:rFonts w:ascii="Arial" w:cs="Arial" w:eastAsia="Arial" w:hAnsi="Arial"/>
                <w:b/>
                <w:bCs/>
                <w:sz w:val="18"/>
                <w:szCs w:val="18"/>
              </w:rPr>
              <w:t xml:space="preserve">Document Embeddings</w:t>
            </w:r>
          </w:p>
        </w:tc>
        <w:tc>
          <w:tcPr>
            <w:tcW w:type="dxa" w:w="2400"/>
            <w:tcBorders>
              <w:top w:val="single" w:color="B0C4DE" w:sz="1"/>
              <w:left w:val="single" w:color="B0C4DE" w:sz="1"/>
              <w:bottom w:val="single" w:color="B0C4DE" w:sz="1"/>
              <w:right w:val="single" w:color="B0C4DE" w:sz="1"/>
            </w:tcBorders>
            <w:shd w:fill="F0F6FF" w:val="clear"/>
            <w:tcMar>
              <w:top w:type="dxa" w:w="60"/>
              <w:left w:type="dxa" w:w="100"/>
              <w:bottom w:type="dxa" w:w="60"/>
              <w:right w:type="dxa" w:w="100"/>
            </w:tcMar>
            <w:vAlign w:val="center"/>
          </w:tcPr>
          <w:p>
            <w:r>
              <w:rPr>
                <w:rFonts w:ascii="Arial" w:cs="Arial" w:eastAsia="Arial" w:hAnsi="Arial"/>
                <w:sz w:val="18"/>
                <w:szCs w:val="18"/>
              </w:rPr>
              <w:t xml:space="preserve">knowledge.documents
knowledge.chunks</w:t>
            </w:r>
          </w:p>
        </w:tc>
        <w:tc>
          <w:tcPr>
            <w:tcW w:type="dxa" w:w="1600"/>
            <w:tcBorders>
              <w:top w:val="single" w:color="B0C4DE" w:sz="1"/>
              <w:left w:val="single" w:color="B0C4DE" w:sz="1"/>
              <w:bottom w:val="single" w:color="B0C4DE" w:sz="1"/>
              <w:right w:val="single" w:color="B0C4DE" w:sz="1"/>
            </w:tcBorders>
            <w:shd w:fill="F0F6FF" w:val="clear"/>
            <w:tcMar>
              <w:top w:type="dxa" w:w="60"/>
              <w:left w:type="dxa" w:w="100"/>
              <w:bottom w:type="dxa" w:w="60"/>
              <w:right w:type="dxa" w:w="100"/>
            </w:tcMar>
            <w:vAlign w:val="center"/>
          </w:tcPr>
          <w:p>
            <w:r>
              <w:rPr>
                <w:rFonts w:ascii="Arial" w:cs="Arial" w:eastAsia="Arial" w:hAnsi="Arial"/>
                <w:sz w:val="18"/>
                <w:szCs w:val="18"/>
              </w:rPr>
              <w:t xml:space="preserve">pgvector (vector)</w:t>
            </w:r>
          </w:p>
        </w:tc>
        <w:tc>
          <w:tcPr>
            <w:tcW w:type="dxa" w:w="3440"/>
            <w:tcBorders>
              <w:top w:val="single" w:color="B0C4DE" w:sz="1"/>
              <w:left w:val="single" w:color="B0C4DE" w:sz="1"/>
              <w:bottom w:val="single" w:color="B0C4DE" w:sz="1"/>
              <w:right w:val="single" w:color="B0C4DE" w:sz="1"/>
            </w:tcBorders>
            <w:shd w:fill="F0F6FF" w:val="clear"/>
            <w:tcMar>
              <w:top w:type="dxa" w:w="60"/>
              <w:left w:type="dxa" w:w="100"/>
              <w:bottom w:type="dxa" w:w="60"/>
              <w:right w:type="dxa" w:w="100"/>
            </w:tcMar>
            <w:vAlign w:val="center"/>
          </w:tcPr>
          <w:p>
            <w:r>
              <w:rPr>
                <w:rFonts w:ascii="Arial" w:cs="Arial" w:eastAsia="Arial" w:hAnsi="Arial"/>
                <w:sz w:val="18"/>
                <w:szCs w:val="18"/>
              </w:rPr>
              <w:t xml:space="preserve">Embedded chunks of regulatory guidance, TSA templates, deal precedents, M&amp;A literature (70+ sources from Framework Section 8).</w:t>
            </w:r>
          </w:p>
        </w:tc>
        <w:tc>
          <w:tcPr>
            <w:tcW w:type="dxa" w:w="1200"/>
            <w:tcBorders>
              <w:top w:val="single" w:color="B0C4DE" w:sz="1"/>
              <w:left w:val="single" w:color="B0C4DE" w:sz="1"/>
              <w:bottom w:val="single" w:color="B0C4DE" w:sz="1"/>
              <w:right w:val="single" w:color="B0C4DE" w:sz="1"/>
            </w:tcBorders>
            <w:shd w:fill="F0F6FF" w:val="clear"/>
            <w:tcMar>
              <w:top w:type="dxa" w:w="60"/>
              <w:left w:type="dxa" w:w="100"/>
              <w:bottom w:type="dxa" w:w="60"/>
              <w:right w:type="dxa" w:w="100"/>
            </w:tcMar>
            <w:vAlign w:val="center"/>
          </w:tcPr>
          <w:p>
            <w:r>
              <w:rPr>
                <w:rFonts w:ascii="Arial" w:cs="Arial" w:eastAsia="Arial" w:hAnsi="Arial"/>
                <w:sz w:val="18"/>
                <w:szCs w:val="18"/>
              </w:rPr>
              <w:t xml:space="preserve">Phase 2–3</w:t>
            </w:r>
          </w:p>
        </w:tc>
        <w:tc>
          <w:tcPr>
            <w:tcW w:type="dxa" w:w="2800"/>
            <w:tcBorders>
              <w:top w:val="single" w:color="B0C4DE" w:sz="1"/>
              <w:left w:val="single" w:color="B0C4DE" w:sz="1"/>
              <w:bottom w:val="single" w:color="B0C4DE" w:sz="1"/>
              <w:right w:val="single" w:color="B0C4DE" w:sz="1"/>
            </w:tcBorders>
            <w:shd w:fill="F0F6FF" w:val="clear"/>
            <w:tcMar>
              <w:top w:type="dxa" w:w="60"/>
              <w:left w:type="dxa" w:w="100"/>
              <w:bottom w:type="dxa" w:w="60"/>
              <w:right w:type="dxa" w:w="100"/>
            </w:tcMar>
            <w:vAlign w:val="center"/>
          </w:tcPr>
          <w:p>
            <w:r>
              <w:rPr>
                <w:rFonts w:ascii="Arial" w:cs="Arial" w:eastAsia="Arial" w:hAnsi="Arial"/>
                <w:sz w:val="18"/>
                <w:szCs w:val="18"/>
              </w:rPr>
              <w:t xml:space="preserve">Batch embedding pipeline; 512-token chunks; HNSW index; hybrid retrieval (vector + SQL filters)</w:t>
            </w:r>
          </w:p>
        </w:tc>
      </w:tr>
      <w:tr>
        <w:tc>
          <w:tcPr>
            <w:tcW w:type="dxa" w:w="200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b/>
                <w:bCs/>
                <w:sz w:val="18"/>
                <w:szCs w:val="18"/>
              </w:rPr>
              <w:t xml:space="preserve">Historical Deal Patterns</w:t>
            </w:r>
          </w:p>
        </w:tc>
        <w:tc>
          <w:tcPr>
            <w:tcW w:type="dxa" w:w="240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sz w:val="18"/>
                <w:szCs w:val="18"/>
              </w:rPr>
              <w:t xml:space="preserve">analytics.deal_outcomes
analytics.risk_actuals</w:t>
            </w:r>
          </w:p>
        </w:tc>
        <w:tc>
          <w:tcPr>
            <w:tcW w:type="dxa" w:w="160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sz w:val="18"/>
                <w:szCs w:val="18"/>
              </w:rPr>
              <w:t xml:space="preserve">JSONB</w:t>
            </w:r>
          </w:p>
        </w:tc>
        <w:tc>
          <w:tcPr>
            <w:tcW w:type="dxa" w:w="344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sz w:val="18"/>
                <w:szCs w:val="18"/>
              </w:rPr>
              <w:t xml:space="preserve">Anonymized outcomes from prior integrations: timeline actuals, risk materializations, TSA extension rates. Minimum 3–5 deals.</w:t>
            </w:r>
          </w:p>
        </w:tc>
        <w:tc>
          <w:tcPr>
            <w:tcW w:type="dxa" w:w="120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sz w:val="18"/>
                <w:szCs w:val="18"/>
              </w:rPr>
              <w:t xml:space="preserve">Phase 3</w:t>
            </w:r>
          </w:p>
        </w:tc>
        <w:tc>
          <w:tcPr>
            <w:tcW w:type="dxa" w:w="280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sz w:val="18"/>
                <w:szCs w:val="18"/>
              </w:rPr>
              <w:t xml:space="preserve">Manual data entry initially; structured import templates; statistical validation before use</w:t>
            </w:r>
          </w:p>
        </w:tc>
      </w:tr>
    </w:tbl>
    <w:p>
      <w:r>
        <w:br w:type="page"/>
      </w:r>
    </w:p>
    <w:p>
      <w:pPr>
        <w:pStyle w:val="Heading2"/>
      </w:pPr>
      <w:r>
        <w:rPr>
          <w:rFonts w:ascii="Arial" w:cs="Arial" w:eastAsia="Arial" w:hAnsi="Arial"/>
        </w:rPr>
        <w:t xml:space="preserve">4.3 Discrete Training &amp; Knowledge Management Tools</w:t>
      </w:r>
    </w:p>
    <w:p>
      <w:pPr>
        <w:spacing w:after="120"/>
      </w:pPr>
      <w:r>
        <w:rPr>
          <w:rFonts w:ascii="Arial" w:cs="Arial" w:eastAsia="Arial" w:hAnsi="Arial"/>
          <w:sz w:val="20"/>
          <w:szCs w:val="20"/>
        </w:rPr>
        <w:t xml:space="preserve">The following tools operate in a separate container from the production application, providing isolated environments for knowledge base management, prompt engineering, evaluation, and data preparation. This separation ensures that training activities never impact production deal workflows.</w:t>
      </w:r>
    </w:p>
    <w:tbl>
      <w:tblPr>
        <w:tblW w:type="dxa" w:w="13440"/>
        <w:tblBorders>
          <w:top w:val="single" w:color="auto" w:sz="4"/>
          <w:left w:val="single" w:color="auto" w:sz="4"/>
          <w:bottom w:val="single" w:color="auto" w:sz="4"/>
          <w:right w:val="single" w:color="auto" w:sz="4"/>
          <w:insideH w:val="single" w:color="auto" w:sz="4"/>
          <w:insideV w:val="single" w:color="auto" w:sz="4"/>
        </w:tblBorders>
      </w:tblPr>
      <w:tblGrid>
        <w:gridCol w:w="600"/>
        <w:gridCol w:w="1800"/>
        <w:gridCol w:w="3200"/>
        <w:gridCol w:w="900"/>
        <w:gridCol w:w="3800"/>
        <w:gridCol w:w="3140"/>
      </w:tblGrid>
      <w:tr>
        <w:tc>
          <w:tcPr>
            <w:tcW w:type="dxa" w:w="600"/>
            <w:tcBorders>
              <w:top w:val="single" w:color="B0C4DE" w:sz="1"/>
              <w:left w:val="single" w:color="B0C4DE" w:sz="1"/>
              <w:bottom w:val="single" w:color="B0C4DE" w:sz="1"/>
              <w:right w:val="single" w:color="B0C4DE" w:sz="1"/>
            </w:tcBorders>
            <w:shd w:fill="1E3A5F" w:val="clear"/>
            <w:tcMar>
              <w:top w:type="dxa" w:w="60"/>
              <w:left w:type="dxa" w:w="100"/>
              <w:bottom w:type="dxa" w:w="60"/>
              <w:right w:type="dxa" w:w="100"/>
            </w:tcMar>
            <w:vAlign w:val="center"/>
          </w:tcPr>
          <w:p>
            <w:r>
              <w:rPr>
                <w:rFonts w:ascii="Arial" w:cs="Arial" w:eastAsia="Arial" w:hAnsi="Arial"/>
                <w:b/>
                <w:bCs/>
                <w:color w:val="FFFFFF"/>
                <w:sz w:val="18"/>
                <w:szCs w:val="18"/>
              </w:rPr>
              <w:t xml:space="preserve">ID</w:t>
            </w:r>
          </w:p>
        </w:tc>
        <w:tc>
          <w:tcPr>
            <w:tcW w:type="dxa" w:w="1800"/>
            <w:tcBorders>
              <w:top w:val="single" w:color="B0C4DE" w:sz="1"/>
              <w:left w:val="single" w:color="B0C4DE" w:sz="1"/>
              <w:bottom w:val="single" w:color="B0C4DE" w:sz="1"/>
              <w:right w:val="single" w:color="B0C4DE" w:sz="1"/>
            </w:tcBorders>
            <w:shd w:fill="1E3A5F" w:val="clear"/>
            <w:tcMar>
              <w:top w:type="dxa" w:w="60"/>
              <w:left w:type="dxa" w:w="100"/>
              <w:bottom w:type="dxa" w:w="60"/>
              <w:right w:type="dxa" w:w="100"/>
            </w:tcMar>
            <w:vAlign w:val="center"/>
          </w:tcPr>
          <w:p>
            <w:r>
              <w:rPr>
                <w:rFonts w:ascii="Arial" w:cs="Arial" w:eastAsia="Arial" w:hAnsi="Arial"/>
                <w:b/>
                <w:bCs/>
                <w:color w:val="FFFFFF"/>
                <w:sz w:val="18"/>
                <w:szCs w:val="18"/>
              </w:rPr>
              <w:t xml:space="preserve">Tool</w:t>
            </w:r>
          </w:p>
        </w:tc>
        <w:tc>
          <w:tcPr>
            <w:tcW w:type="dxa" w:w="3200"/>
            <w:tcBorders>
              <w:top w:val="single" w:color="B0C4DE" w:sz="1"/>
              <w:left w:val="single" w:color="B0C4DE" w:sz="1"/>
              <w:bottom w:val="single" w:color="B0C4DE" w:sz="1"/>
              <w:right w:val="single" w:color="B0C4DE" w:sz="1"/>
            </w:tcBorders>
            <w:shd w:fill="1E3A5F" w:val="clear"/>
            <w:tcMar>
              <w:top w:type="dxa" w:w="60"/>
              <w:left w:type="dxa" w:w="100"/>
              <w:bottom w:type="dxa" w:w="60"/>
              <w:right w:type="dxa" w:w="100"/>
            </w:tcMar>
            <w:vAlign w:val="center"/>
          </w:tcPr>
          <w:p>
            <w:r>
              <w:rPr>
                <w:rFonts w:ascii="Arial" w:cs="Arial" w:eastAsia="Arial" w:hAnsi="Arial"/>
                <w:b/>
                <w:bCs/>
                <w:color w:val="FFFFFF"/>
                <w:sz w:val="18"/>
                <w:szCs w:val="18"/>
              </w:rPr>
              <w:t xml:space="preserve">Purpose</w:t>
            </w:r>
          </w:p>
        </w:tc>
        <w:tc>
          <w:tcPr>
            <w:tcW w:type="dxa" w:w="900"/>
            <w:tcBorders>
              <w:top w:val="single" w:color="B0C4DE" w:sz="1"/>
              <w:left w:val="single" w:color="B0C4DE" w:sz="1"/>
              <w:bottom w:val="single" w:color="B0C4DE" w:sz="1"/>
              <w:right w:val="single" w:color="B0C4DE" w:sz="1"/>
            </w:tcBorders>
            <w:shd w:fill="1E3A5F" w:val="clear"/>
            <w:tcMar>
              <w:top w:type="dxa" w:w="60"/>
              <w:left w:type="dxa" w:w="100"/>
              <w:bottom w:type="dxa" w:w="60"/>
              <w:right w:type="dxa" w:w="100"/>
            </w:tcMar>
            <w:vAlign w:val="center"/>
          </w:tcPr>
          <w:p>
            <w:r>
              <w:rPr>
                <w:rFonts w:ascii="Arial" w:cs="Arial" w:eastAsia="Arial" w:hAnsi="Arial"/>
                <w:b/>
                <w:bCs/>
                <w:color w:val="FFFFFF"/>
                <w:sz w:val="18"/>
                <w:szCs w:val="18"/>
              </w:rPr>
              <w:t xml:space="preserve">Phase</w:t>
            </w:r>
          </w:p>
        </w:tc>
        <w:tc>
          <w:tcPr>
            <w:tcW w:type="dxa" w:w="3800"/>
            <w:tcBorders>
              <w:top w:val="single" w:color="B0C4DE" w:sz="1"/>
              <w:left w:val="single" w:color="B0C4DE" w:sz="1"/>
              <w:bottom w:val="single" w:color="B0C4DE" w:sz="1"/>
              <w:right w:val="single" w:color="B0C4DE" w:sz="1"/>
            </w:tcBorders>
            <w:shd w:fill="1E3A5F" w:val="clear"/>
            <w:tcMar>
              <w:top w:type="dxa" w:w="60"/>
              <w:left w:type="dxa" w:w="100"/>
              <w:bottom w:type="dxa" w:w="60"/>
              <w:right w:type="dxa" w:w="100"/>
            </w:tcMar>
            <w:vAlign w:val="center"/>
          </w:tcPr>
          <w:p>
            <w:r>
              <w:rPr>
                <w:rFonts w:ascii="Arial" w:cs="Arial" w:eastAsia="Arial" w:hAnsi="Arial"/>
                <w:b/>
                <w:bCs/>
                <w:color w:val="FFFFFF"/>
                <w:sz w:val="18"/>
                <w:szCs w:val="18"/>
              </w:rPr>
              <w:t xml:space="preserve">Implementation</w:t>
            </w:r>
          </w:p>
        </w:tc>
        <w:tc>
          <w:tcPr>
            <w:tcW w:type="dxa" w:w="3140"/>
            <w:tcBorders>
              <w:top w:val="single" w:color="B0C4DE" w:sz="1"/>
              <w:left w:val="single" w:color="B0C4DE" w:sz="1"/>
              <w:bottom w:val="single" w:color="B0C4DE" w:sz="1"/>
              <w:right w:val="single" w:color="B0C4DE" w:sz="1"/>
            </w:tcBorders>
            <w:shd w:fill="1E3A5F" w:val="clear"/>
            <w:tcMar>
              <w:top w:type="dxa" w:w="60"/>
              <w:left w:type="dxa" w:w="100"/>
              <w:bottom w:type="dxa" w:w="60"/>
              <w:right w:type="dxa" w:w="100"/>
            </w:tcMar>
            <w:vAlign w:val="center"/>
          </w:tcPr>
          <w:p>
            <w:r>
              <w:rPr>
                <w:rFonts w:ascii="Arial" w:cs="Arial" w:eastAsia="Arial" w:hAnsi="Arial"/>
                <w:b/>
                <w:bCs/>
                <w:color w:val="FFFFFF"/>
                <w:sz w:val="18"/>
                <w:szCs w:val="18"/>
              </w:rPr>
              <w:t xml:space="preserve">Training Impact</w:t>
            </w:r>
          </w:p>
        </w:tc>
      </w:tr>
      <w:tr>
        <w:tc>
          <w:tcPr>
            <w:tcW w:type="dxa" w:w="60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b/>
                <w:bCs/>
                <w:sz w:val="18"/>
                <w:szCs w:val="18"/>
              </w:rPr>
              <w:t xml:space="preserve">T-1</w:t>
            </w:r>
          </w:p>
        </w:tc>
        <w:tc>
          <w:tcPr>
            <w:tcW w:type="dxa" w:w="180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b/>
                <w:bCs/>
                <w:sz w:val="18"/>
                <w:szCs w:val="18"/>
              </w:rPr>
              <w:t xml:space="preserve">Prompt Studio</w:t>
            </w:r>
          </w:p>
        </w:tc>
        <w:tc>
          <w:tcPr>
            <w:tcW w:type="dxa" w:w="320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sz w:val="18"/>
                <w:szCs w:val="18"/>
              </w:rPr>
              <w:t xml:space="preserve">Interactive environment for authoring, testing, and versioning system prompts and guidance templates. Side-by-side comparison of prompt variants against sample deal scenarios.</w:t>
            </w:r>
          </w:p>
        </w:tc>
        <w:tc>
          <w:tcPr>
            <w:tcW w:type="dxa" w:w="90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sz w:val="18"/>
                <w:szCs w:val="18"/>
              </w:rPr>
              <w:t xml:space="preserve">Phase 1</w:t>
            </w:r>
          </w:p>
        </w:tc>
        <w:tc>
          <w:tcPr>
            <w:tcW w:type="dxa" w:w="380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sz w:val="18"/>
                <w:szCs w:val="18"/>
              </w:rPr>
              <w:t xml:space="preserve">React UI with Claude API integration. Stores prompt versions in config.prompt_versions table. A/B testing framework for prompt quality. Export approved prompts to production guidance_library.</w:t>
            </w:r>
          </w:p>
        </w:tc>
        <w:tc>
          <w:tcPr>
            <w:tcW w:type="dxa" w:w="314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sz w:val="18"/>
                <w:szCs w:val="18"/>
              </w:rPr>
              <w:t xml:space="preserve">Direct: prompts are the primary AI knowledge delivery mechanism in Phase 1. Quality of prompts = quality of AI output.</w:t>
            </w:r>
          </w:p>
        </w:tc>
      </w:tr>
      <w:tr>
        <w:tc>
          <w:tcPr>
            <w:tcW w:type="dxa" w:w="600"/>
            <w:tcBorders>
              <w:top w:val="single" w:color="B0C4DE" w:sz="1"/>
              <w:left w:val="single" w:color="B0C4DE" w:sz="1"/>
              <w:bottom w:val="single" w:color="B0C4DE" w:sz="1"/>
              <w:right w:val="single" w:color="B0C4DE" w:sz="1"/>
            </w:tcBorders>
            <w:shd w:fill="F0F6FF" w:val="clear"/>
            <w:tcMar>
              <w:top w:type="dxa" w:w="60"/>
              <w:left w:type="dxa" w:w="100"/>
              <w:bottom w:type="dxa" w:w="60"/>
              <w:right w:type="dxa" w:w="100"/>
            </w:tcMar>
            <w:vAlign w:val="center"/>
          </w:tcPr>
          <w:p>
            <w:r>
              <w:rPr>
                <w:rFonts w:ascii="Arial" w:cs="Arial" w:eastAsia="Arial" w:hAnsi="Arial"/>
                <w:b/>
                <w:bCs/>
                <w:sz w:val="18"/>
                <w:szCs w:val="18"/>
              </w:rPr>
              <w:t xml:space="preserve">T-2</w:t>
            </w:r>
          </w:p>
        </w:tc>
        <w:tc>
          <w:tcPr>
            <w:tcW w:type="dxa" w:w="1800"/>
            <w:tcBorders>
              <w:top w:val="single" w:color="B0C4DE" w:sz="1"/>
              <w:left w:val="single" w:color="B0C4DE" w:sz="1"/>
              <w:bottom w:val="single" w:color="B0C4DE" w:sz="1"/>
              <w:right w:val="single" w:color="B0C4DE" w:sz="1"/>
            </w:tcBorders>
            <w:shd w:fill="F0F6FF" w:val="clear"/>
            <w:tcMar>
              <w:top w:type="dxa" w:w="60"/>
              <w:left w:type="dxa" w:w="100"/>
              <w:bottom w:type="dxa" w:w="60"/>
              <w:right w:type="dxa" w:w="100"/>
            </w:tcMar>
            <w:vAlign w:val="center"/>
          </w:tcPr>
          <w:p>
            <w:r>
              <w:rPr>
                <w:rFonts w:ascii="Arial" w:cs="Arial" w:eastAsia="Arial" w:hAnsi="Arial"/>
                <w:b/>
                <w:bCs/>
                <w:sz w:val="18"/>
                <w:szCs w:val="18"/>
              </w:rPr>
              <w:t xml:space="preserve">Knowledge Ingestion Pipeline</w:t>
            </w:r>
          </w:p>
        </w:tc>
        <w:tc>
          <w:tcPr>
            <w:tcW w:type="dxa" w:w="3200"/>
            <w:tcBorders>
              <w:top w:val="single" w:color="B0C4DE" w:sz="1"/>
              <w:left w:val="single" w:color="B0C4DE" w:sz="1"/>
              <w:bottom w:val="single" w:color="B0C4DE" w:sz="1"/>
              <w:right w:val="single" w:color="B0C4DE" w:sz="1"/>
            </w:tcBorders>
            <w:shd w:fill="F0F6FF" w:val="clear"/>
            <w:tcMar>
              <w:top w:type="dxa" w:w="60"/>
              <w:left w:type="dxa" w:w="100"/>
              <w:bottom w:type="dxa" w:w="60"/>
              <w:right w:type="dxa" w:w="100"/>
            </w:tcMar>
            <w:vAlign w:val="center"/>
          </w:tcPr>
          <w:p>
            <w:r>
              <w:rPr>
                <w:rFonts w:ascii="Arial" w:cs="Arial" w:eastAsia="Arial" w:hAnsi="Arial"/>
                <w:sz w:val="18"/>
                <w:szCs w:val="18"/>
              </w:rPr>
              <w:t xml:space="preserve">Batch processing tool for ingesting, chunking, embedding, and indexing authoritative M&amp;A documents (PDFs, DOCXs, web content) into the RAG knowledge base.</w:t>
            </w:r>
          </w:p>
        </w:tc>
        <w:tc>
          <w:tcPr>
            <w:tcW w:type="dxa" w:w="900"/>
            <w:tcBorders>
              <w:top w:val="single" w:color="B0C4DE" w:sz="1"/>
              <w:left w:val="single" w:color="B0C4DE" w:sz="1"/>
              <w:bottom w:val="single" w:color="B0C4DE" w:sz="1"/>
              <w:right w:val="single" w:color="B0C4DE" w:sz="1"/>
            </w:tcBorders>
            <w:shd w:fill="F0F6FF" w:val="clear"/>
            <w:tcMar>
              <w:top w:type="dxa" w:w="60"/>
              <w:left w:type="dxa" w:w="100"/>
              <w:bottom w:type="dxa" w:w="60"/>
              <w:right w:type="dxa" w:w="100"/>
            </w:tcMar>
            <w:vAlign w:val="center"/>
          </w:tcPr>
          <w:p>
            <w:r>
              <w:rPr>
                <w:rFonts w:ascii="Arial" w:cs="Arial" w:eastAsia="Arial" w:hAnsi="Arial"/>
                <w:sz w:val="18"/>
                <w:szCs w:val="18"/>
              </w:rPr>
              <w:t xml:space="preserve">Phase 2</w:t>
            </w:r>
          </w:p>
        </w:tc>
        <w:tc>
          <w:tcPr>
            <w:tcW w:type="dxa" w:w="3800"/>
            <w:tcBorders>
              <w:top w:val="single" w:color="B0C4DE" w:sz="1"/>
              <w:left w:val="single" w:color="B0C4DE" w:sz="1"/>
              <w:bottom w:val="single" w:color="B0C4DE" w:sz="1"/>
              <w:right w:val="single" w:color="B0C4DE" w:sz="1"/>
            </w:tcBorders>
            <w:shd w:fill="F0F6FF" w:val="clear"/>
            <w:tcMar>
              <w:top w:type="dxa" w:w="60"/>
              <w:left w:type="dxa" w:w="100"/>
              <w:bottom w:type="dxa" w:w="60"/>
              <w:right w:type="dxa" w:w="100"/>
            </w:tcMar>
            <w:vAlign w:val="center"/>
          </w:tcPr>
          <w:p>
            <w:r>
              <w:rPr>
                <w:rFonts w:ascii="Arial" w:cs="Arial" w:eastAsia="Arial" w:hAnsi="Arial"/>
                <w:sz w:val="18"/>
                <w:szCs w:val="18"/>
              </w:rPr>
              <w:t xml:space="preserve">Python pipeline: document loader → text extractor → chunker (512 tokens) → embedding model (text-embedding-3-small) → pgvector INSERT. Metadata tagging for source, date, domain, jurisdiction.</w:t>
            </w:r>
          </w:p>
        </w:tc>
        <w:tc>
          <w:tcPr>
            <w:tcW w:type="dxa" w:w="3140"/>
            <w:tcBorders>
              <w:top w:val="single" w:color="B0C4DE" w:sz="1"/>
              <w:left w:val="single" w:color="B0C4DE" w:sz="1"/>
              <w:bottom w:val="single" w:color="B0C4DE" w:sz="1"/>
              <w:right w:val="single" w:color="B0C4DE" w:sz="1"/>
            </w:tcBorders>
            <w:shd w:fill="F0F6FF" w:val="clear"/>
            <w:tcMar>
              <w:top w:type="dxa" w:w="60"/>
              <w:left w:type="dxa" w:w="100"/>
              <w:bottom w:type="dxa" w:w="60"/>
              <w:right w:type="dxa" w:w="100"/>
            </w:tcMar>
            <w:vAlign w:val="center"/>
          </w:tcPr>
          <w:p>
            <w:r>
              <w:rPr>
                <w:rFonts w:ascii="Arial" w:cs="Arial" w:eastAsia="Arial" w:hAnsi="Arial"/>
                <w:sz w:val="18"/>
                <w:szCs w:val="18"/>
              </w:rPr>
              <w:t xml:space="preserve">Populates the RAG retrieval layer. Converts the 70+ sources from Training Model Framework Section 8 into searchable embeddings.</w:t>
            </w:r>
          </w:p>
        </w:tc>
      </w:tr>
      <w:tr>
        <w:tc>
          <w:tcPr>
            <w:tcW w:type="dxa" w:w="60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b/>
                <w:bCs/>
                <w:sz w:val="18"/>
                <w:szCs w:val="18"/>
              </w:rPr>
              <w:t xml:space="preserve">T-3</w:t>
            </w:r>
          </w:p>
        </w:tc>
        <w:tc>
          <w:tcPr>
            <w:tcW w:type="dxa" w:w="180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b/>
                <w:bCs/>
                <w:sz w:val="18"/>
                <w:szCs w:val="18"/>
              </w:rPr>
              <w:t xml:space="preserve">Evaluation Harness</w:t>
            </w:r>
          </w:p>
        </w:tc>
        <w:tc>
          <w:tcPr>
            <w:tcW w:type="dxa" w:w="320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sz w:val="18"/>
                <w:szCs w:val="18"/>
              </w:rPr>
              <w:t xml:space="preserve">Automated testing framework that runs AI outputs against golden-set test cases. Measures accuracy, relevance, and consistency of risk detection, guidance prompts, and workflow generation.</w:t>
            </w:r>
          </w:p>
        </w:tc>
        <w:tc>
          <w:tcPr>
            <w:tcW w:type="dxa" w:w="90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sz w:val="18"/>
                <w:szCs w:val="18"/>
              </w:rPr>
              <w:t xml:space="preserve">Phase 1</w:t>
            </w:r>
          </w:p>
        </w:tc>
        <w:tc>
          <w:tcPr>
            <w:tcW w:type="dxa" w:w="380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sz w:val="18"/>
                <w:szCs w:val="18"/>
              </w:rPr>
              <w:t xml:space="preserve">JSON test suite: {input_deal_context, expected_risks, expected_workstreams, expected_guidance}. Scoring: precision/recall for risk detection; relevance scoring for guidance. CI/CD integration for regression testing.</w:t>
            </w:r>
          </w:p>
        </w:tc>
        <w:tc>
          <w:tcPr>
            <w:tcW w:type="dxa" w:w="314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sz w:val="18"/>
                <w:szCs w:val="18"/>
              </w:rPr>
              <w:t xml:space="preserve">Ensures AI quality doesn’t degrade across prompt changes, model updates, or knowledge base expansions. Provides measurable quality gates.</w:t>
            </w:r>
          </w:p>
        </w:tc>
      </w:tr>
      <w:tr>
        <w:tc>
          <w:tcPr>
            <w:tcW w:type="dxa" w:w="600"/>
            <w:tcBorders>
              <w:top w:val="single" w:color="B0C4DE" w:sz="1"/>
              <w:left w:val="single" w:color="B0C4DE" w:sz="1"/>
              <w:bottom w:val="single" w:color="B0C4DE" w:sz="1"/>
              <w:right w:val="single" w:color="B0C4DE" w:sz="1"/>
            </w:tcBorders>
            <w:shd w:fill="F0F6FF" w:val="clear"/>
            <w:tcMar>
              <w:top w:type="dxa" w:w="60"/>
              <w:left w:type="dxa" w:w="100"/>
              <w:bottom w:type="dxa" w:w="60"/>
              <w:right w:type="dxa" w:w="100"/>
            </w:tcMar>
            <w:vAlign w:val="center"/>
          </w:tcPr>
          <w:p>
            <w:r>
              <w:rPr>
                <w:rFonts w:ascii="Arial" w:cs="Arial" w:eastAsia="Arial" w:hAnsi="Arial"/>
                <w:b/>
                <w:bCs/>
                <w:sz w:val="18"/>
                <w:szCs w:val="18"/>
              </w:rPr>
              <w:t xml:space="preserve">T-4</w:t>
            </w:r>
          </w:p>
        </w:tc>
        <w:tc>
          <w:tcPr>
            <w:tcW w:type="dxa" w:w="1800"/>
            <w:tcBorders>
              <w:top w:val="single" w:color="B0C4DE" w:sz="1"/>
              <w:left w:val="single" w:color="B0C4DE" w:sz="1"/>
              <w:bottom w:val="single" w:color="B0C4DE" w:sz="1"/>
              <w:right w:val="single" w:color="B0C4DE" w:sz="1"/>
            </w:tcBorders>
            <w:shd w:fill="F0F6FF" w:val="clear"/>
            <w:tcMar>
              <w:top w:type="dxa" w:w="60"/>
              <w:left w:type="dxa" w:w="100"/>
              <w:bottom w:type="dxa" w:w="60"/>
              <w:right w:type="dxa" w:w="100"/>
            </w:tcMar>
            <w:vAlign w:val="center"/>
          </w:tcPr>
          <w:p>
            <w:r>
              <w:rPr>
                <w:rFonts w:ascii="Arial" w:cs="Arial" w:eastAsia="Arial" w:hAnsi="Arial"/>
                <w:b/>
                <w:bCs/>
                <w:sz w:val="18"/>
                <w:szCs w:val="18"/>
              </w:rPr>
              <w:t xml:space="preserve">Feedback Collector</w:t>
            </w:r>
          </w:p>
        </w:tc>
        <w:tc>
          <w:tcPr>
            <w:tcW w:type="dxa" w:w="3200"/>
            <w:tcBorders>
              <w:top w:val="single" w:color="B0C4DE" w:sz="1"/>
              <w:left w:val="single" w:color="B0C4DE" w:sz="1"/>
              <w:bottom w:val="single" w:color="B0C4DE" w:sz="1"/>
              <w:right w:val="single" w:color="B0C4DE" w:sz="1"/>
            </w:tcBorders>
            <w:shd w:fill="F0F6FF" w:val="clear"/>
            <w:tcMar>
              <w:top w:type="dxa" w:w="60"/>
              <w:left w:type="dxa" w:w="100"/>
              <w:bottom w:type="dxa" w:w="60"/>
              <w:right w:type="dxa" w:w="100"/>
            </w:tcMar>
            <w:vAlign w:val="center"/>
          </w:tcPr>
          <w:p>
            <w:r>
              <w:rPr>
                <w:rFonts w:ascii="Arial" w:cs="Arial" w:eastAsia="Arial" w:hAnsi="Arial"/>
                <w:sz w:val="18"/>
                <w:szCs w:val="18"/>
              </w:rPr>
              <w:t xml:space="preserve">Captures PMO/consultant feedback on AI recommendations: accept/reject/modify decisions on risk alerts, guidance prompts, and workflow suggestions. Creates labeled training data.</w:t>
            </w:r>
          </w:p>
        </w:tc>
        <w:tc>
          <w:tcPr>
            <w:tcW w:type="dxa" w:w="900"/>
            <w:tcBorders>
              <w:top w:val="single" w:color="B0C4DE" w:sz="1"/>
              <w:left w:val="single" w:color="B0C4DE" w:sz="1"/>
              <w:bottom w:val="single" w:color="B0C4DE" w:sz="1"/>
              <w:right w:val="single" w:color="B0C4DE" w:sz="1"/>
            </w:tcBorders>
            <w:shd w:fill="F0F6FF" w:val="clear"/>
            <w:tcMar>
              <w:top w:type="dxa" w:w="60"/>
              <w:left w:type="dxa" w:w="100"/>
              <w:bottom w:type="dxa" w:w="60"/>
              <w:right w:type="dxa" w:w="100"/>
            </w:tcMar>
            <w:vAlign w:val="center"/>
          </w:tcPr>
          <w:p>
            <w:r>
              <w:rPr>
                <w:rFonts w:ascii="Arial" w:cs="Arial" w:eastAsia="Arial" w:hAnsi="Arial"/>
                <w:sz w:val="18"/>
                <w:szCs w:val="18"/>
              </w:rPr>
              <w:t xml:space="preserve">Phase 1–2</w:t>
            </w:r>
          </w:p>
        </w:tc>
        <w:tc>
          <w:tcPr>
            <w:tcW w:type="dxa" w:w="3800"/>
            <w:tcBorders>
              <w:top w:val="single" w:color="B0C4DE" w:sz="1"/>
              <w:left w:val="single" w:color="B0C4DE" w:sz="1"/>
              <w:bottom w:val="single" w:color="B0C4DE" w:sz="1"/>
              <w:right w:val="single" w:color="B0C4DE" w:sz="1"/>
            </w:tcBorders>
            <w:shd w:fill="F0F6FF" w:val="clear"/>
            <w:tcMar>
              <w:top w:type="dxa" w:w="60"/>
              <w:left w:type="dxa" w:w="100"/>
              <w:bottom w:type="dxa" w:w="60"/>
              <w:right w:type="dxa" w:w="100"/>
            </w:tcMar>
            <w:vAlign w:val="center"/>
          </w:tcPr>
          <w:p>
            <w:r>
              <w:rPr>
                <w:rFonts w:ascii="Arial" w:cs="Arial" w:eastAsia="Arial" w:hAnsi="Arial"/>
                <w:sz w:val="18"/>
                <w:szCs w:val="18"/>
              </w:rPr>
              <w:t xml:space="preserve">Lightweight UI overlay on production dashboard (thumbs up/down + optional comment). Writes to audit.ai_feedback table. Weekly aggregation reports. Export pipeline for fine-tuning dataset creation.</w:t>
            </w:r>
          </w:p>
        </w:tc>
        <w:tc>
          <w:tcPr>
            <w:tcW w:type="dxa" w:w="3140"/>
            <w:tcBorders>
              <w:top w:val="single" w:color="B0C4DE" w:sz="1"/>
              <w:left w:val="single" w:color="B0C4DE" w:sz="1"/>
              <w:bottom w:val="single" w:color="B0C4DE" w:sz="1"/>
              <w:right w:val="single" w:color="B0C4DE" w:sz="1"/>
            </w:tcBorders>
            <w:shd w:fill="F0F6FF" w:val="clear"/>
            <w:tcMar>
              <w:top w:type="dxa" w:w="60"/>
              <w:left w:type="dxa" w:w="100"/>
              <w:bottom w:type="dxa" w:w="60"/>
              <w:right w:type="dxa" w:w="100"/>
            </w:tcMar>
            <w:vAlign w:val="center"/>
          </w:tcPr>
          <w:p>
            <w:r>
              <w:rPr>
                <w:rFonts w:ascii="Arial" w:cs="Arial" w:eastAsia="Arial" w:hAnsi="Arial"/>
                <w:sz w:val="18"/>
                <w:szCs w:val="18"/>
              </w:rPr>
              <w:t xml:space="preserve">Creates the labeled dataset needed for future fine-tuning (Layer 3). Measures recommendation quality. Identifies systematic AI weaknesses.</w:t>
            </w:r>
          </w:p>
        </w:tc>
      </w:tr>
      <w:tr>
        <w:tc>
          <w:tcPr>
            <w:tcW w:type="dxa" w:w="60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b/>
                <w:bCs/>
                <w:sz w:val="18"/>
                <w:szCs w:val="18"/>
              </w:rPr>
              <w:t xml:space="preserve">T-5</w:t>
            </w:r>
          </w:p>
        </w:tc>
        <w:tc>
          <w:tcPr>
            <w:tcW w:type="dxa" w:w="180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b/>
                <w:bCs/>
                <w:sz w:val="18"/>
                <w:szCs w:val="18"/>
              </w:rPr>
              <w:t xml:space="preserve">Scenario Simulator</w:t>
            </w:r>
          </w:p>
        </w:tc>
        <w:tc>
          <w:tcPr>
            <w:tcW w:type="dxa" w:w="320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sz w:val="18"/>
                <w:szCs w:val="18"/>
              </w:rPr>
              <w:t xml:space="preserve">Generates synthetic deal scenarios from parameter distributions to stress-test decision tree logic, risk detection rules, and AI guidance coverage. Validates edge cases.</w:t>
            </w:r>
          </w:p>
        </w:tc>
        <w:tc>
          <w:tcPr>
            <w:tcW w:type="dxa" w:w="90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sz w:val="18"/>
                <w:szCs w:val="18"/>
              </w:rPr>
              <w:t xml:space="preserve">Phase 1</w:t>
            </w:r>
          </w:p>
        </w:tc>
        <w:tc>
          <w:tcPr>
            <w:tcW w:type="dxa" w:w="380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sz w:val="18"/>
                <w:szCs w:val="18"/>
              </w:rPr>
              <w:t xml:space="preserve">Python script: random deal parameter generation within valid ranges → run through decision tree engine → validate output checklist against expected patterns. Monte Carlo simulation for coverage analysis.</w:t>
            </w:r>
          </w:p>
        </w:tc>
        <w:tc>
          <w:tcPr>
            <w:tcW w:type="dxa" w:w="314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sz w:val="18"/>
                <w:szCs w:val="18"/>
              </w:rPr>
              <w:t xml:space="preserve">Validates decision tree completeness. Identifies parameter combinations that produce unexpected results. Regression testing for logic changes.</w:t>
            </w:r>
          </w:p>
        </w:tc>
      </w:tr>
      <w:tr>
        <w:tc>
          <w:tcPr>
            <w:tcW w:type="dxa" w:w="600"/>
            <w:tcBorders>
              <w:top w:val="single" w:color="B0C4DE" w:sz="1"/>
              <w:left w:val="single" w:color="B0C4DE" w:sz="1"/>
              <w:bottom w:val="single" w:color="B0C4DE" w:sz="1"/>
              <w:right w:val="single" w:color="B0C4DE" w:sz="1"/>
            </w:tcBorders>
            <w:shd w:fill="F0F6FF" w:val="clear"/>
            <w:tcMar>
              <w:top w:type="dxa" w:w="60"/>
              <w:left w:type="dxa" w:w="100"/>
              <w:bottom w:type="dxa" w:w="60"/>
              <w:right w:type="dxa" w:w="100"/>
            </w:tcMar>
            <w:vAlign w:val="center"/>
          </w:tcPr>
          <w:p>
            <w:r>
              <w:rPr>
                <w:rFonts w:ascii="Arial" w:cs="Arial" w:eastAsia="Arial" w:hAnsi="Arial"/>
                <w:b/>
                <w:bCs/>
                <w:sz w:val="18"/>
                <w:szCs w:val="18"/>
              </w:rPr>
              <w:t xml:space="preserve">T-6</w:t>
            </w:r>
          </w:p>
        </w:tc>
        <w:tc>
          <w:tcPr>
            <w:tcW w:type="dxa" w:w="1800"/>
            <w:tcBorders>
              <w:top w:val="single" w:color="B0C4DE" w:sz="1"/>
              <w:left w:val="single" w:color="B0C4DE" w:sz="1"/>
              <w:bottom w:val="single" w:color="B0C4DE" w:sz="1"/>
              <w:right w:val="single" w:color="B0C4DE" w:sz="1"/>
            </w:tcBorders>
            <w:shd w:fill="F0F6FF" w:val="clear"/>
            <w:tcMar>
              <w:top w:type="dxa" w:w="60"/>
              <w:left w:type="dxa" w:w="100"/>
              <w:bottom w:type="dxa" w:w="60"/>
              <w:right w:type="dxa" w:w="100"/>
            </w:tcMar>
            <w:vAlign w:val="center"/>
          </w:tcPr>
          <w:p>
            <w:r>
              <w:rPr>
                <w:rFonts w:ascii="Arial" w:cs="Arial" w:eastAsia="Arial" w:hAnsi="Arial"/>
                <w:b/>
                <w:bCs/>
                <w:sz w:val="18"/>
                <w:szCs w:val="18"/>
              </w:rPr>
              <w:t xml:space="preserve">Knowledge Graph Builder</w:t>
            </w:r>
          </w:p>
        </w:tc>
        <w:tc>
          <w:tcPr>
            <w:tcW w:type="dxa" w:w="3200"/>
            <w:tcBorders>
              <w:top w:val="single" w:color="B0C4DE" w:sz="1"/>
              <w:left w:val="single" w:color="B0C4DE" w:sz="1"/>
              <w:bottom w:val="single" w:color="B0C4DE" w:sz="1"/>
              <w:right w:val="single" w:color="B0C4DE" w:sz="1"/>
            </w:tcBorders>
            <w:shd w:fill="F0F6FF" w:val="clear"/>
            <w:tcMar>
              <w:top w:type="dxa" w:w="60"/>
              <w:left w:type="dxa" w:w="100"/>
              <w:bottom w:type="dxa" w:w="60"/>
              <w:right w:type="dxa" w:w="100"/>
            </w:tcMar>
            <w:vAlign w:val="center"/>
          </w:tcPr>
          <w:p>
            <w:r>
              <w:rPr>
                <w:rFonts w:ascii="Arial" w:cs="Arial" w:eastAsia="Arial" w:hAnsi="Arial"/>
                <w:sz w:val="18"/>
                <w:szCs w:val="18"/>
              </w:rPr>
              <w:t xml:space="preserve">Visual tool for mapping relationships between M&amp;A concepts: deal structures → regulatory requirements → tax implications → workstream activations. Augments vector search with relational reasoning.</w:t>
            </w:r>
          </w:p>
        </w:tc>
        <w:tc>
          <w:tcPr>
            <w:tcW w:type="dxa" w:w="900"/>
            <w:tcBorders>
              <w:top w:val="single" w:color="B0C4DE" w:sz="1"/>
              <w:left w:val="single" w:color="B0C4DE" w:sz="1"/>
              <w:bottom w:val="single" w:color="B0C4DE" w:sz="1"/>
              <w:right w:val="single" w:color="B0C4DE" w:sz="1"/>
            </w:tcBorders>
            <w:shd w:fill="F0F6FF" w:val="clear"/>
            <w:tcMar>
              <w:top w:type="dxa" w:w="60"/>
              <w:left w:type="dxa" w:w="100"/>
              <w:bottom w:type="dxa" w:w="60"/>
              <w:right w:type="dxa" w:w="100"/>
            </w:tcMar>
            <w:vAlign w:val="center"/>
          </w:tcPr>
          <w:p>
            <w:r>
              <w:rPr>
                <w:rFonts w:ascii="Arial" w:cs="Arial" w:eastAsia="Arial" w:hAnsi="Arial"/>
                <w:sz w:val="18"/>
                <w:szCs w:val="18"/>
              </w:rPr>
              <w:t xml:space="preserve">Phase 3</w:t>
            </w:r>
          </w:p>
        </w:tc>
        <w:tc>
          <w:tcPr>
            <w:tcW w:type="dxa" w:w="3800"/>
            <w:tcBorders>
              <w:top w:val="single" w:color="B0C4DE" w:sz="1"/>
              <w:left w:val="single" w:color="B0C4DE" w:sz="1"/>
              <w:bottom w:val="single" w:color="B0C4DE" w:sz="1"/>
              <w:right w:val="single" w:color="B0C4DE" w:sz="1"/>
            </w:tcBorders>
            <w:shd w:fill="F0F6FF" w:val="clear"/>
            <w:tcMar>
              <w:top w:type="dxa" w:w="60"/>
              <w:left w:type="dxa" w:w="100"/>
              <w:bottom w:type="dxa" w:w="60"/>
              <w:right w:type="dxa" w:w="100"/>
            </w:tcMar>
            <w:vAlign w:val="center"/>
          </w:tcPr>
          <w:p>
            <w:r>
              <w:rPr>
                <w:rFonts w:ascii="Arial" w:cs="Arial" w:eastAsia="Arial" w:hAnsi="Arial"/>
                <w:sz w:val="18"/>
                <w:szCs w:val="18"/>
              </w:rPr>
              <w:t xml:space="preserve">Neo4j or Neon-native graph queries. Entity types: DealStructure, Jurisdiction, Regulation, RiskCategory, Workstream. Relationship types: TRIGGERS, REQUIRES, MITIGATES, DEPENDS_ON.</w:t>
            </w:r>
          </w:p>
        </w:tc>
        <w:tc>
          <w:tcPr>
            <w:tcW w:type="dxa" w:w="3140"/>
            <w:tcBorders>
              <w:top w:val="single" w:color="B0C4DE" w:sz="1"/>
              <w:left w:val="single" w:color="B0C4DE" w:sz="1"/>
              <w:bottom w:val="single" w:color="B0C4DE" w:sz="1"/>
              <w:right w:val="single" w:color="B0C4DE" w:sz="1"/>
            </w:tcBorders>
            <w:shd w:fill="F0F6FF" w:val="clear"/>
            <w:tcMar>
              <w:top w:type="dxa" w:w="60"/>
              <w:left w:type="dxa" w:w="100"/>
              <w:bottom w:type="dxa" w:w="60"/>
              <w:right w:type="dxa" w:w="100"/>
            </w:tcMar>
            <w:vAlign w:val="center"/>
          </w:tcPr>
          <w:p>
            <w:r>
              <w:rPr>
                <w:rFonts w:ascii="Arial" w:cs="Arial" w:eastAsia="Arial" w:hAnsi="Arial"/>
                <w:sz w:val="18"/>
                <w:szCs w:val="18"/>
              </w:rPr>
              <w:t xml:space="preserve">Enables multi-hop reasoning (e.g., ‘reverse triangular merger + UK jurisdiction → NSI Act filing → mandatory notification’). Improves AI explanation quality.</w:t>
            </w:r>
          </w:p>
        </w:tc>
      </w:tr>
      <w:tr>
        <w:tc>
          <w:tcPr>
            <w:tcW w:type="dxa" w:w="60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b/>
                <w:bCs/>
                <w:sz w:val="18"/>
                <w:szCs w:val="18"/>
              </w:rPr>
              <w:t xml:space="preserve">T-7</w:t>
            </w:r>
          </w:p>
        </w:tc>
        <w:tc>
          <w:tcPr>
            <w:tcW w:type="dxa" w:w="180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b/>
                <w:bCs/>
                <w:sz w:val="18"/>
                <w:szCs w:val="18"/>
              </w:rPr>
              <w:t xml:space="preserve">Benchmark Dashboard</w:t>
            </w:r>
          </w:p>
        </w:tc>
        <w:tc>
          <w:tcPr>
            <w:tcW w:type="dxa" w:w="320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sz w:val="18"/>
                <w:szCs w:val="18"/>
              </w:rPr>
              <w:t xml:space="preserve">Tracks AI performance metrics over time: risk detection accuracy, guidance relevance scores, recommendation acceptance rates, prompt quality trends, knowledge base coverage.</w:t>
            </w:r>
          </w:p>
        </w:tc>
        <w:tc>
          <w:tcPr>
            <w:tcW w:type="dxa" w:w="90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sz w:val="18"/>
                <w:szCs w:val="18"/>
              </w:rPr>
              <w:t xml:space="preserve">Phase 2</w:t>
            </w:r>
          </w:p>
        </w:tc>
        <w:tc>
          <w:tcPr>
            <w:tcW w:type="dxa" w:w="380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sz w:val="18"/>
                <w:szCs w:val="18"/>
              </w:rPr>
              <w:t xml:space="preserve">React dashboard consuming audit.ai_feedback aggregations. Charts: accuracy over time, acceptance rate by workstream, coverage heatmap by deal type × jurisdiction. Alerting for quality drops.</w:t>
            </w:r>
          </w:p>
        </w:tc>
        <w:tc>
          <w:tcPr>
            <w:tcW w:type="dxa" w:w="314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sz w:val="18"/>
                <w:szCs w:val="18"/>
              </w:rPr>
              <w:t xml:space="preserve">Provides visibility into whether the AI is improving. Identifies areas needing additional training data or prompt refinement. Supports stakeholder confidence.</w:t>
            </w:r>
          </w:p>
        </w:tc>
      </w:tr>
    </w:tbl>
    <w:p>
      <w:r>
        <w:br w:type="page"/>
      </w:r>
    </w:p>
    <w:p>
      <w:pPr>
        <w:pStyle w:val="Heading2"/>
      </w:pPr>
      <w:r>
        <w:rPr>
          <w:rFonts w:ascii="Arial" w:cs="Arial" w:eastAsia="Arial" w:hAnsi="Arial"/>
        </w:rPr>
        <w:t xml:space="preserve">4.4 Container Separation: Production vs. Training</w:t>
      </w:r>
    </w:p>
    <w:p>
      <w:pPr>
        <w:spacing w:after="120"/>
      </w:pPr>
      <w:r>
        <w:rPr>
          <w:rFonts w:ascii="Arial" w:cs="Arial" w:eastAsia="Arial" w:hAnsi="Arial"/>
          <w:sz w:val="20"/>
          <w:szCs w:val="20"/>
        </w:rPr>
        <w:t xml:space="preserve">The training tools operate in a separate container from the production application to ensure isolation, prevent accidental data corruption, and allow independent scaling of training workloads.</w:t>
      </w:r>
    </w:p>
    <w:tbl>
      <w:tblPr>
        <w:tblW w:type="dxa" w:w="1344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3600"/>
        <w:gridCol w:w="2600"/>
        <w:gridCol w:w="1800"/>
        <w:gridCol w:w="1240"/>
      </w:tblGrid>
      <w:tr>
        <w:tc>
          <w:tcPr>
            <w:tcW w:type="dxa" w:w="2200"/>
            <w:tcBorders>
              <w:top w:val="single" w:color="B0C4DE" w:sz="1"/>
              <w:left w:val="single" w:color="B0C4DE" w:sz="1"/>
              <w:bottom w:val="single" w:color="B0C4DE" w:sz="1"/>
              <w:right w:val="single" w:color="B0C4DE" w:sz="1"/>
            </w:tcBorders>
            <w:shd w:fill="1E3A5F" w:val="clear"/>
            <w:tcMar>
              <w:top w:type="dxa" w:w="60"/>
              <w:left w:type="dxa" w:w="100"/>
              <w:bottom w:type="dxa" w:w="60"/>
              <w:right w:type="dxa" w:w="100"/>
            </w:tcMar>
            <w:vAlign w:val="center"/>
          </w:tcPr>
          <w:p>
            <w:r>
              <w:rPr>
                <w:rFonts w:ascii="Arial" w:cs="Arial" w:eastAsia="Arial" w:hAnsi="Arial"/>
                <w:b/>
                <w:bCs/>
                <w:color w:val="FFFFFF"/>
                <w:sz w:val="18"/>
                <w:szCs w:val="18"/>
              </w:rPr>
              <w:t xml:space="preserve">Container</w:t>
            </w:r>
          </w:p>
        </w:tc>
        <w:tc>
          <w:tcPr>
            <w:tcW w:type="dxa" w:w="2000"/>
            <w:tcBorders>
              <w:top w:val="single" w:color="B0C4DE" w:sz="1"/>
              <w:left w:val="single" w:color="B0C4DE" w:sz="1"/>
              <w:bottom w:val="single" w:color="B0C4DE" w:sz="1"/>
              <w:right w:val="single" w:color="B0C4DE" w:sz="1"/>
            </w:tcBorders>
            <w:shd w:fill="1E3A5F" w:val="clear"/>
            <w:tcMar>
              <w:top w:type="dxa" w:w="60"/>
              <w:left w:type="dxa" w:w="100"/>
              <w:bottom w:type="dxa" w:w="60"/>
              <w:right w:type="dxa" w:w="100"/>
            </w:tcMar>
            <w:vAlign w:val="center"/>
          </w:tcPr>
          <w:p>
            <w:r>
              <w:rPr>
                <w:rFonts w:ascii="Arial" w:cs="Arial" w:eastAsia="Arial" w:hAnsi="Arial"/>
                <w:b/>
                <w:bCs/>
                <w:color w:val="FFFFFF"/>
                <w:sz w:val="18"/>
                <w:szCs w:val="18"/>
              </w:rPr>
              <w:t xml:space="preserve">Infrastructure</w:t>
            </w:r>
          </w:p>
        </w:tc>
        <w:tc>
          <w:tcPr>
            <w:tcW w:type="dxa" w:w="3600"/>
            <w:tcBorders>
              <w:top w:val="single" w:color="B0C4DE" w:sz="1"/>
              <w:left w:val="single" w:color="B0C4DE" w:sz="1"/>
              <w:bottom w:val="single" w:color="B0C4DE" w:sz="1"/>
              <w:right w:val="single" w:color="B0C4DE" w:sz="1"/>
            </w:tcBorders>
            <w:shd w:fill="1E3A5F" w:val="clear"/>
            <w:tcMar>
              <w:top w:type="dxa" w:w="60"/>
              <w:left w:type="dxa" w:w="100"/>
              <w:bottom w:type="dxa" w:w="60"/>
              <w:right w:type="dxa" w:w="100"/>
            </w:tcMar>
            <w:vAlign w:val="center"/>
          </w:tcPr>
          <w:p>
            <w:r>
              <w:rPr>
                <w:rFonts w:ascii="Arial" w:cs="Arial" w:eastAsia="Arial" w:hAnsi="Arial"/>
                <w:b/>
                <w:bCs/>
                <w:color w:val="FFFFFF"/>
                <w:sz w:val="18"/>
                <w:szCs w:val="18"/>
              </w:rPr>
              <w:t xml:space="preserve">Services</w:t>
            </w:r>
          </w:p>
        </w:tc>
        <w:tc>
          <w:tcPr>
            <w:tcW w:type="dxa" w:w="2600"/>
            <w:tcBorders>
              <w:top w:val="single" w:color="B0C4DE" w:sz="1"/>
              <w:left w:val="single" w:color="B0C4DE" w:sz="1"/>
              <w:bottom w:val="single" w:color="B0C4DE" w:sz="1"/>
              <w:right w:val="single" w:color="B0C4DE" w:sz="1"/>
            </w:tcBorders>
            <w:shd w:fill="1E3A5F" w:val="clear"/>
            <w:tcMar>
              <w:top w:type="dxa" w:w="60"/>
              <w:left w:type="dxa" w:w="100"/>
              <w:bottom w:type="dxa" w:w="60"/>
              <w:right w:type="dxa" w:w="100"/>
            </w:tcMar>
            <w:vAlign w:val="center"/>
          </w:tcPr>
          <w:p>
            <w:r>
              <w:rPr>
                <w:rFonts w:ascii="Arial" w:cs="Arial" w:eastAsia="Arial" w:hAnsi="Arial"/>
                <w:b/>
                <w:bCs/>
                <w:color w:val="FFFFFF"/>
                <w:sz w:val="18"/>
                <w:szCs w:val="18"/>
              </w:rPr>
              <w:t xml:space="preserve">DB Access</w:t>
            </w:r>
          </w:p>
        </w:tc>
        <w:tc>
          <w:tcPr>
            <w:tcW w:type="dxa" w:w="1800"/>
            <w:tcBorders>
              <w:top w:val="single" w:color="B0C4DE" w:sz="1"/>
              <w:left w:val="single" w:color="B0C4DE" w:sz="1"/>
              <w:bottom w:val="single" w:color="B0C4DE" w:sz="1"/>
              <w:right w:val="single" w:color="B0C4DE" w:sz="1"/>
            </w:tcBorders>
            <w:shd w:fill="1E3A5F" w:val="clear"/>
            <w:tcMar>
              <w:top w:type="dxa" w:w="60"/>
              <w:left w:type="dxa" w:w="100"/>
              <w:bottom w:type="dxa" w:w="60"/>
              <w:right w:type="dxa" w:w="100"/>
            </w:tcMar>
            <w:vAlign w:val="center"/>
          </w:tcPr>
          <w:p>
            <w:r>
              <w:rPr>
                <w:rFonts w:ascii="Arial" w:cs="Arial" w:eastAsia="Arial" w:hAnsi="Arial"/>
                <w:b/>
                <w:bCs/>
                <w:color w:val="FFFFFF"/>
                <w:sz w:val="18"/>
                <w:szCs w:val="18"/>
              </w:rPr>
              <w:t xml:space="preserve">Users</w:t>
            </w:r>
          </w:p>
        </w:tc>
        <w:tc>
          <w:tcPr>
            <w:tcW w:type="dxa" w:w="1240"/>
            <w:tcBorders>
              <w:top w:val="single" w:color="B0C4DE" w:sz="1"/>
              <w:left w:val="single" w:color="B0C4DE" w:sz="1"/>
              <w:bottom w:val="single" w:color="B0C4DE" w:sz="1"/>
              <w:right w:val="single" w:color="B0C4DE" w:sz="1"/>
            </w:tcBorders>
            <w:shd w:fill="1E3A5F" w:val="clear"/>
            <w:tcMar>
              <w:top w:type="dxa" w:w="60"/>
              <w:left w:type="dxa" w:w="100"/>
              <w:bottom w:type="dxa" w:w="60"/>
              <w:right w:type="dxa" w:w="100"/>
            </w:tcMar>
            <w:vAlign w:val="center"/>
          </w:tcPr>
          <w:p>
            <w:r>
              <w:rPr>
                <w:rFonts w:ascii="Arial" w:cs="Arial" w:eastAsia="Arial" w:hAnsi="Arial"/>
                <w:b/>
                <w:bCs/>
                <w:color w:val="FFFFFF"/>
                <w:sz w:val="18"/>
                <w:szCs w:val="18"/>
              </w:rPr>
              <w:t xml:space="preserve">SLA</w:t>
            </w:r>
          </w:p>
        </w:tc>
      </w:tr>
      <w:tr>
        <w:tc>
          <w:tcPr>
            <w:tcW w:type="dxa" w:w="220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b/>
                <w:bCs/>
                <w:sz w:val="18"/>
                <w:szCs w:val="18"/>
              </w:rPr>
              <w:t xml:space="preserve">Production Container</w:t>
            </w:r>
          </w:p>
        </w:tc>
        <w:tc>
          <w:tcPr>
            <w:tcW w:type="dxa" w:w="200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sz w:val="18"/>
                <w:szCs w:val="18"/>
              </w:rPr>
              <w:t xml:space="preserve">Vercel Serverless + Neon</w:t>
            </w:r>
          </w:p>
        </w:tc>
        <w:tc>
          <w:tcPr>
            <w:tcW w:type="dxa" w:w="360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sz w:val="18"/>
                <w:szCs w:val="18"/>
              </w:rPr>
              <w:t xml:space="preserve">Deal intake, workflow generation, checklist management, dashboard, risk monitoring, document export</w:t>
            </w:r>
          </w:p>
        </w:tc>
        <w:tc>
          <w:tcPr>
            <w:tcW w:type="dxa" w:w="260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sz w:val="18"/>
                <w:szCs w:val="18"/>
              </w:rPr>
              <w:t xml:space="preserve">public, config (read), audit (write)</w:t>
            </w:r>
          </w:p>
        </w:tc>
        <w:tc>
          <w:tcPr>
            <w:tcW w:type="dxa" w:w="180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sz w:val="18"/>
                <w:szCs w:val="18"/>
              </w:rPr>
              <w:t xml:space="preserve">Team members via dashboard</w:t>
            </w:r>
          </w:p>
        </w:tc>
        <w:tc>
          <w:tcPr>
            <w:tcW w:type="dxa" w:w="124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sz w:val="18"/>
                <w:szCs w:val="18"/>
              </w:rPr>
              <w:t xml:space="preserve">&lt; 200ms response; 99.9% uptime</w:t>
            </w:r>
          </w:p>
        </w:tc>
      </w:tr>
      <w:tr>
        <w:tc>
          <w:tcPr>
            <w:tcW w:type="dxa" w:w="2200"/>
            <w:tcBorders>
              <w:top w:val="single" w:color="B0C4DE" w:sz="1"/>
              <w:left w:val="single" w:color="B0C4DE" w:sz="1"/>
              <w:bottom w:val="single" w:color="B0C4DE" w:sz="1"/>
              <w:right w:val="single" w:color="B0C4DE" w:sz="1"/>
            </w:tcBorders>
            <w:shd w:fill="F0F6FF" w:val="clear"/>
            <w:tcMar>
              <w:top w:type="dxa" w:w="60"/>
              <w:left w:type="dxa" w:w="100"/>
              <w:bottom w:type="dxa" w:w="60"/>
              <w:right w:type="dxa" w:w="100"/>
            </w:tcMar>
            <w:vAlign w:val="center"/>
          </w:tcPr>
          <w:p>
            <w:r>
              <w:rPr>
                <w:rFonts w:ascii="Arial" w:cs="Arial" w:eastAsia="Arial" w:hAnsi="Arial"/>
                <w:b/>
                <w:bCs/>
                <w:sz w:val="18"/>
                <w:szCs w:val="18"/>
              </w:rPr>
              <w:t xml:space="preserve">Training Container</w:t>
            </w:r>
          </w:p>
        </w:tc>
        <w:tc>
          <w:tcPr>
            <w:tcW w:type="dxa" w:w="2000"/>
            <w:tcBorders>
              <w:top w:val="single" w:color="B0C4DE" w:sz="1"/>
              <w:left w:val="single" w:color="B0C4DE" w:sz="1"/>
              <w:bottom w:val="single" w:color="B0C4DE" w:sz="1"/>
              <w:right w:val="single" w:color="B0C4DE" w:sz="1"/>
            </w:tcBorders>
            <w:shd w:fill="F0F6FF" w:val="clear"/>
            <w:tcMar>
              <w:top w:type="dxa" w:w="60"/>
              <w:left w:type="dxa" w:w="100"/>
              <w:bottom w:type="dxa" w:w="60"/>
              <w:right w:type="dxa" w:w="100"/>
            </w:tcMar>
            <w:vAlign w:val="center"/>
          </w:tcPr>
          <w:p>
            <w:r>
              <w:rPr>
                <w:rFonts w:ascii="Arial" w:cs="Arial" w:eastAsia="Arial" w:hAnsi="Arial"/>
                <w:sz w:val="18"/>
                <w:szCs w:val="18"/>
              </w:rPr>
              <w:t xml:space="preserve">Docker / Cloud Run</w:t>
            </w:r>
          </w:p>
        </w:tc>
        <w:tc>
          <w:tcPr>
            <w:tcW w:type="dxa" w:w="3600"/>
            <w:tcBorders>
              <w:top w:val="single" w:color="B0C4DE" w:sz="1"/>
              <w:left w:val="single" w:color="B0C4DE" w:sz="1"/>
              <w:bottom w:val="single" w:color="B0C4DE" w:sz="1"/>
              <w:right w:val="single" w:color="B0C4DE" w:sz="1"/>
            </w:tcBorders>
            <w:shd w:fill="F0F6FF" w:val="clear"/>
            <w:tcMar>
              <w:top w:type="dxa" w:w="60"/>
              <w:left w:type="dxa" w:w="100"/>
              <w:bottom w:type="dxa" w:w="60"/>
              <w:right w:type="dxa" w:w="100"/>
            </w:tcMar>
            <w:vAlign w:val="center"/>
          </w:tcPr>
          <w:p>
            <w:r>
              <w:rPr>
                <w:rFonts w:ascii="Arial" w:cs="Arial" w:eastAsia="Arial" w:hAnsi="Arial"/>
                <w:sz w:val="18"/>
                <w:szCs w:val="18"/>
              </w:rPr>
              <w:t xml:space="preserve">Prompt Studio (T-1), Knowledge Ingestion (T-2), Evaluation Harness (T-3), Scenario Simulator (T-5), Benchmark Dashboard (T-7)</w:t>
            </w:r>
          </w:p>
        </w:tc>
        <w:tc>
          <w:tcPr>
            <w:tcW w:type="dxa" w:w="2600"/>
            <w:tcBorders>
              <w:top w:val="single" w:color="B0C4DE" w:sz="1"/>
              <w:left w:val="single" w:color="B0C4DE" w:sz="1"/>
              <w:bottom w:val="single" w:color="B0C4DE" w:sz="1"/>
              <w:right w:val="single" w:color="B0C4DE" w:sz="1"/>
            </w:tcBorders>
            <w:shd w:fill="F0F6FF" w:val="clear"/>
            <w:tcMar>
              <w:top w:type="dxa" w:w="60"/>
              <w:left w:type="dxa" w:w="100"/>
              <w:bottom w:type="dxa" w:w="60"/>
              <w:right w:type="dxa" w:w="100"/>
            </w:tcMar>
            <w:vAlign w:val="center"/>
          </w:tcPr>
          <w:p>
            <w:r>
              <w:rPr>
                <w:rFonts w:ascii="Arial" w:cs="Arial" w:eastAsia="Arial" w:hAnsi="Arial"/>
                <w:sz w:val="18"/>
                <w:szCs w:val="18"/>
              </w:rPr>
              <w:t xml:space="preserve">config (read/write), knowledge (read/write), audit (read)</w:t>
            </w:r>
          </w:p>
        </w:tc>
        <w:tc>
          <w:tcPr>
            <w:tcW w:type="dxa" w:w="1800"/>
            <w:tcBorders>
              <w:top w:val="single" w:color="B0C4DE" w:sz="1"/>
              <w:left w:val="single" w:color="B0C4DE" w:sz="1"/>
              <w:bottom w:val="single" w:color="B0C4DE" w:sz="1"/>
              <w:right w:val="single" w:color="B0C4DE" w:sz="1"/>
            </w:tcBorders>
            <w:shd w:fill="F0F6FF" w:val="clear"/>
            <w:tcMar>
              <w:top w:type="dxa" w:w="60"/>
              <w:left w:type="dxa" w:w="100"/>
              <w:bottom w:type="dxa" w:w="60"/>
              <w:right w:type="dxa" w:w="100"/>
            </w:tcMar>
            <w:vAlign w:val="center"/>
          </w:tcPr>
          <w:p>
            <w:r>
              <w:rPr>
                <w:rFonts w:ascii="Arial" w:cs="Arial" w:eastAsia="Arial" w:hAnsi="Arial"/>
                <w:sz w:val="18"/>
                <w:szCs w:val="18"/>
              </w:rPr>
              <w:t xml:space="preserve">AI/ML engineers; prompt authors</w:t>
            </w:r>
          </w:p>
        </w:tc>
        <w:tc>
          <w:tcPr>
            <w:tcW w:type="dxa" w:w="1240"/>
            <w:tcBorders>
              <w:top w:val="single" w:color="B0C4DE" w:sz="1"/>
              <w:left w:val="single" w:color="B0C4DE" w:sz="1"/>
              <w:bottom w:val="single" w:color="B0C4DE" w:sz="1"/>
              <w:right w:val="single" w:color="B0C4DE" w:sz="1"/>
            </w:tcBorders>
            <w:shd w:fill="F0F6FF" w:val="clear"/>
            <w:tcMar>
              <w:top w:type="dxa" w:w="60"/>
              <w:left w:type="dxa" w:w="100"/>
              <w:bottom w:type="dxa" w:w="60"/>
              <w:right w:type="dxa" w:w="100"/>
            </w:tcMar>
            <w:vAlign w:val="center"/>
          </w:tcPr>
          <w:p>
            <w:r>
              <w:rPr>
                <w:rFonts w:ascii="Arial" w:cs="Arial" w:eastAsia="Arial" w:hAnsi="Arial"/>
                <w:sz w:val="18"/>
                <w:szCs w:val="18"/>
              </w:rPr>
              <w:t xml:space="preserve">Best-effort; batch processing OK</w:t>
            </w:r>
          </w:p>
        </w:tc>
      </w:tr>
      <w:tr>
        <w:tc>
          <w:tcPr>
            <w:tcW w:type="dxa" w:w="220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b/>
                <w:bCs/>
                <w:sz w:val="18"/>
                <w:szCs w:val="18"/>
              </w:rPr>
              <w:t xml:space="preserve">Feedback Bridge</w:t>
            </w:r>
          </w:p>
        </w:tc>
        <w:tc>
          <w:tcPr>
            <w:tcW w:type="dxa" w:w="200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sz w:val="18"/>
                <w:szCs w:val="18"/>
              </w:rPr>
              <w:t xml:space="preserve">Serverless function</w:t>
            </w:r>
          </w:p>
        </w:tc>
        <w:tc>
          <w:tcPr>
            <w:tcW w:type="dxa" w:w="360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sz w:val="18"/>
                <w:szCs w:val="18"/>
              </w:rPr>
              <w:t xml:space="preserve">Feedback Collector (T-4) UI overlay on production; writes to audit schema; aggregation jobs run in training container</w:t>
            </w:r>
          </w:p>
        </w:tc>
        <w:tc>
          <w:tcPr>
            <w:tcW w:type="dxa" w:w="260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sz w:val="18"/>
                <w:szCs w:val="18"/>
              </w:rPr>
              <w:t xml:space="preserve">audit.ai_feedback (write from prod, read from training)</w:t>
            </w:r>
          </w:p>
        </w:tc>
        <w:tc>
          <w:tcPr>
            <w:tcW w:type="dxa" w:w="180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sz w:val="18"/>
                <w:szCs w:val="18"/>
              </w:rPr>
              <w:t xml:space="preserve">End users (overlay); ML team (reports)</w:t>
            </w:r>
          </w:p>
        </w:tc>
        <w:tc>
          <w:tcPr>
            <w:tcW w:type="dxa" w:w="124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sz w:val="18"/>
                <w:szCs w:val="18"/>
              </w:rPr>
              <w:t xml:space="preserve">Real-time capture; async aggregation</w:t>
            </w:r>
          </w:p>
        </w:tc>
      </w:tr>
    </w:tbl>
    <w:p>
      <w:pPr>
        <w:spacing w:after="80"/>
      </w:pPr>
    </w:p>
    <w:p>
      <w:pPr>
        <w:spacing w:after="120"/>
      </w:pPr>
      <w:r>
        <w:rPr>
          <w:rFonts w:ascii="Arial" w:cs="Arial" w:eastAsia="Arial" w:hAnsi="Arial"/>
          <w:sz w:val="20"/>
          <w:szCs w:val="20"/>
        </w:rPr>
        <w:t xml:space="preserve">Key design principle: the training container can READ production data (deal contexts, status history, feedback) but can only WRITE to config and knowledge schemas through a promotion pipeline that requires human review. This prevents untested prompts or embeddings from reaching production.</w:t>
      </w:r>
    </w:p>
    <w:p>
      <w:r>
        <w:br w:type="page"/>
      </w:r>
    </w:p>
    <w:p>
      <w:pPr>
        <w:pStyle w:val="Heading1"/>
      </w:pPr>
      <w:r>
        <w:rPr>
          <w:rFonts w:ascii="Arial" w:cs="Arial" w:eastAsia="Arial" w:hAnsi="Arial"/>
        </w:rPr>
        <w:t xml:space="preserve">5. Data Model Summary</w:t>
      </w:r>
    </w:p>
    <w:p>
      <w:pPr>
        <w:spacing w:after="120"/>
      </w:pPr>
      <w:r>
        <w:rPr>
          <w:rFonts w:ascii="Arial" w:cs="Arial" w:eastAsia="Arial" w:hAnsi="Arial"/>
          <w:sz w:val="20"/>
          <w:szCs w:val="20"/>
        </w:rPr>
        <w:t xml:space="preserve">The Neon PostgreSQL schema is organized into 4 schemas with 12 tables (9 production + 3 training). Full DDL and entity relationships are documented in the companion Neon Data Model artifact.</w:t>
      </w:r>
    </w:p>
    <w:tbl>
      <w:tblPr>
        <w:tblW w:type="dxa" w:w="1344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5440"/>
        <w:gridCol w:w="1200"/>
        <w:gridCol w:w="2800"/>
      </w:tblGrid>
      <w:tr>
        <w:tc>
          <w:tcPr>
            <w:tcW w:type="dxa" w:w="1600"/>
            <w:tcBorders>
              <w:top w:val="single" w:color="B0C4DE" w:sz="1"/>
              <w:left w:val="single" w:color="B0C4DE" w:sz="1"/>
              <w:bottom w:val="single" w:color="B0C4DE" w:sz="1"/>
              <w:right w:val="single" w:color="B0C4DE" w:sz="1"/>
            </w:tcBorders>
            <w:shd w:fill="1E3A5F" w:val="clear"/>
            <w:tcMar>
              <w:top w:type="dxa" w:w="60"/>
              <w:left w:type="dxa" w:w="100"/>
              <w:bottom w:type="dxa" w:w="60"/>
              <w:right w:type="dxa" w:w="100"/>
            </w:tcMar>
            <w:vAlign w:val="center"/>
          </w:tcPr>
          <w:p>
            <w:r>
              <w:rPr>
                <w:rFonts w:ascii="Arial" w:cs="Arial" w:eastAsia="Arial" w:hAnsi="Arial"/>
                <w:b/>
                <w:bCs/>
                <w:color w:val="FFFFFF"/>
                <w:sz w:val="18"/>
                <w:szCs w:val="18"/>
              </w:rPr>
              <w:t xml:space="preserve">Schema</w:t>
            </w:r>
          </w:p>
        </w:tc>
        <w:tc>
          <w:tcPr>
            <w:tcW w:type="dxa" w:w="2400"/>
            <w:tcBorders>
              <w:top w:val="single" w:color="B0C4DE" w:sz="1"/>
              <w:left w:val="single" w:color="B0C4DE" w:sz="1"/>
              <w:bottom w:val="single" w:color="B0C4DE" w:sz="1"/>
              <w:right w:val="single" w:color="B0C4DE" w:sz="1"/>
            </w:tcBorders>
            <w:shd w:fill="1E3A5F" w:val="clear"/>
            <w:tcMar>
              <w:top w:type="dxa" w:w="60"/>
              <w:left w:type="dxa" w:w="100"/>
              <w:bottom w:type="dxa" w:w="60"/>
              <w:right w:type="dxa" w:w="100"/>
            </w:tcMar>
            <w:vAlign w:val="center"/>
          </w:tcPr>
          <w:p>
            <w:r>
              <w:rPr>
                <w:rFonts w:ascii="Arial" w:cs="Arial" w:eastAsia="Arial" w:hAnsi="Arial"/>
                <w:b/>
                <w:bCs/>
                <w:color w:val="FFFFFF"/>
                <w:sz w:val="18"/>
                <w:szCs w:val="18"/>
              </w:rPr>
              <w:t xml:space="preserve">Table</w:t>
            </w:r>
          </w:p>
        </w:tc>
        <w:tc>
          <w:tcPr>
            <w:tcW w:type="dxa" w:w="5440"/>
            <w:tcBorders>
              <w:top w:val="single" w:color="B0C4DE" w:sz="1"/>
              <w:left w:val="single" w:color="B0C4DE" w:sz="1"/>
              <w:bottom w:val="single" w:color="B0C4DE" w:sz="1"/>
              <w:right w:val="single" w:color="B0C4DE" w:sz="1"/>
            </w:tcBorders>
            <w:shd w:fill="1E3A5F" w:val="clear"/>
            <w:tcMar>
              <w:top w:type="dxa" w:w="60"/>
              <w:left w:type="dxa" w:w="100"/>
              <w:bottom w:type="dxa" w:w="60"/>
              <w:right w:type="dxa" w:w="100"/>
            </w:tcMar>
            <w:vAlign w:val="center"/>
          </w:tcPr>
          <w:p>
            <w:r>
              <w:rPr>
                <w:rFonts w:ascii="Arial" w:cs="Arial" w:eastAsia="Arial" w:hAnsi="Arial"/>
                <w:b/>
                <w:bCs/>
                <w:color w:val="FFFFFF"/>
                <w:sz w:val="18"/>
                <w:szCs w:val="18"/>
              </w:rPr>
              <w:t xml:space="preserve">Purpose</w:t>
            </w:r>
          </w:p>
        </w:tc>
        <w:tc>
          <w:tcPr>
            <w:tcW w:type="dxa" w:w="1200"/>
            <w:tcBorders>
              <w:top w:val="single" w:color="B0C4DE" w:sz="1"/>
              <w:left w:val="single" w:color="B0C4DE" w:sz="1"/>
              <w:bottom w:val="single" w:color="B0C4DE" w:sz="1"/>
              <w:right w:val="single" w:color="B0C4DE" w:sz="1"/>
            </w:tcBorders>
            <w:shd w:fill="1E3A5F" w:val="clear"/>
            <w:tcMar>
              <w:top w:type="dxa" w:w="60"/>
              <w:left w:type="dxa" w:w="100"/>
              <w:bottom w:type="dxa" w:w="60"/>
              <w:right w:type="dxa" w:w="100"/>
            </w:tcMar>
            <w:vAlign w:val="center"/>
          </w:tcPr>
          <w:p>
            <w:r>
              <w:rPr>
                <w:rFonts w:ascii="Arial" w:cs="Arial" w:eastAsia="Arial" w:hAnsi="Arial"/>
                <w:b/>
                <w:bCs/>
                <w:color w:val="FFFFFF"/>
                <w:sz w:val="18"/>
                <w:szCs w:val="18"/>
              </w:rPr>
              <w:t xml:space="preserve">Columns</w:t>
            </w:r>
          </w:p>
        </w:tc>
        <w:tc>
          <w:tcPr>
            <w:tcW w:type="dxa" w:w="2800"/>
            <w:tcBorders>
              <w:top w:val="single" w:color="B0C4DE" w:sz="1"/>
              <w:left w:val="single" w:color="B0C4DE" w:sz="1"/>
              <w:bottom w:val="single" w:color="B0C4DE" w:sz="1"/>
              <w:right w:val="single" w:color="B0C4DE" w:sz="1"/>
            </w:tcBorders>
            <w:shd w:fill="1E3A5F" w:val="clear"/>
            <w:tcMar>
              <w:top w:type="dxa" w:w="60"/>
              <w:left w:type="dxa" w:w="100"/>
              <w:bottom w:type="dxa" w:w="60"/>
              <w:right w:type="dxa" w:w="100"/>
            </w:tcMar>
            <w:vAlign w:val="center"/>
          </w:tcPr>
          <w:p>
            <w:r>
              <w:rPr>
                <w:rFonts w:ascii="Arial" w:cs="Arial" w:eastAsia="Arial" w:hAnsi="Arial"/>
                <w:b/>
                <w:bCs/>
                <w:color w:val="FFFFFF"/>
                <w:sz w:val="18"/>
                <w:szCs w:val="18"/>
              </w:rPr>
              <w:t xml:space="preserve">Phase</w:t>
            </w:r>
          </w:p>
        </w:tc>
      </w:tr>
      <w:tr>
        <w:tc>
          <w:tcPr>
            <w:tcW w:type="dxa" w:w="160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b/>
                <w:bCs/>
                <w:sz w:val="18"/>
                <w:szCs w:val="18"/>
              </w:rPr>
              <w:t xml:space="preserve">public</w:t>
            </w:r>
          </w:p>
        </w:tc>
        <w:tc>
          <w:tcPr>
            <w:tcW w:type="dxa" w:w="240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b/>
                <w:bCs/>
                <w:sz w:val="18"/>
                <w:szCs w:val="18"/>
              </w:rPr>
              <w:t xml:space="preserve">deals</w:t>
            </w:r>
          </w:p>
        </w:tc>
        <w:tc>
          <w:tcPr>
            <w:tcW w:type="dxa" w:w="544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sz w:val="18"/>
                <w:szCs w:val="18"/>
              </w:rPr>
              <w:t xml:space="preserve">Core deal record; all 12 intake fields</w:t>
            </w:r>
          </w:p>
        </w:tc>
        <w:tc>
          <w:tcPr>
            <w:tcW w:type="dxa" w:w="120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20</w:t>
            </w:r>
          </w:p>
        </w:tc>
        <w:tc>
          <w:tcPr>
            <w:tcW w:type="dxa" w:w="280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sz w:val="18"/>
                <w:szCs w:val="18"/>
              </w:rPr>
              <w:t xml:space="preserve">Phase 1</w:t>
            </w:r>
          </w:p>
        </w:tc>
      </w:tr>
      <w:tr>
        <w:tc>
          <w:tcPr>
            <w:tcW w:type="dxa" w:w="1600"/>
            <w:tcBorders>
              <w:top w:val="single" w:color="B0C4DE" w:sz="1"/>
              <w:left w:val="single" w:color="B0C4DE" w:sz="1"/>
              <w:bottom w:val="single" w:color="B0C4DE" w:sz="1"/>
              <w:right w:val="single" w:color="B0C4DE" w:sz="1"/>
            </w:tcBorders>
            <w:shd w:fill="F0F6FF" w:val="clear"/>
            <w:tcMar>
              <w:top w:type="dxa" w:w="60"/>
              <w:left w:type="dxa" w:w="100"/>
              <w:bottom w:type="dxa" w:w="60"/>
              <w:right w:type="dxa" w:w="100"/>
            </w:tcMar>
            <w:vAlign w:val="center"/>
          </w:tcPr>
          <w:p>
            <w:r>
              <w:rPr>
                <w:rFonts w:ascii="Arial" w:cs="Arial" w:eastAsia="Arial" w:hAnsi="Arial"/>
                <w:b/>
                <w:bCs/>
                <w:sz w:val="18"/>
                <w:szCs w:val="18"/>
              </w:rPr>
              <w:t xml:space="preserve">public</w:t>
            </w:r>
          </w:p>
        </w:tc>
        <w:tc>
          <w:tcPr>
            <w:tcW w:type="dxa" w:w="2400"/>
            <w:tcBorders>
              <w:top w:val="single" w:color="B0C4DE" w:sz="1"/>
              <w:left w:val="single" w:color="B0C4DE" w:sz="1"/>
              <w:bottom w:val="single" w:color="B0C4DE" w:sz="1"/>
              <w:right w:val="single" w:color="B0C4DE" w:sz="1"/>
            </w:tcBorders>
            <w:shd w:fill="F0F6FF" w:val="clear"/>
            <w:tcMar>
              <w:top w:type="dxa" w:w="60"/>
              <w:left w:type="dxa" w:w="100"/>
              <w:bottom w:type="dxa" w:w="60"/>
              <w:right w:type="dxa" w:w="100"/>
            </w:tcMar>
            <w:vAlign w:val="center"/>
          </w:tcPr>
          <w:p>
            <w:r>
              <w:rPr>
                <w:rFonts w:ascii="Arial" w:cs="Arial" w:eastAsia="Arial" w:hAnsi="Arial"/>
                <w:b/>
                <w:bCs/>
                <w:sz w:val="18"/>
                <w:szCs w:val="18"/>
              </w:rPr>
              <w:t xml:space="preserve">checklist_items</w:t>
            </w:r>
          </w:p>
        </w:tc>
        <w:tc>
          <w:tcPr>
            <w:tcW w:type="dxa" w:w="5440"/>
            <w:tcBorders>
              <w:top w:val="single" w:color="B0C4DE" w:sz="1"/>
              <w:left w:val="single" w:color="B0C4DE" w:sz="1"/>
              <w:bottom w:val="single" w:color="B0C4DE" w:sz="1"/>
              <w:right w:val="single" w:color="B0C4DE" w:sz="1"/>
            </w:tcBorders>
            <w:shd w:fill="F0F6FF" w:val="clear"/>
            <w:tcMar>
              <w:top w:type="dxa" w:w="60"/>
              <w:left w:type="dxa" w:w="100"/>
              <w:bottom w:type="dxa" w:w="60"/>
              <w:right w:type="dxa" w:w="100"/>
            </w:tcMar>
            <w:vAlign w:val="center"/>
          </w:tcPr>
          <w:p>
            <w:r>
              <w:rPr>
                <w:rFonts w:ascii="Arial" w:cs="Arial" w:eastAsia="Arial" w:hAnsi="Arial"/>
                <w:sz w:val="18"/>
                <w:szCs w:val="18"/>
              </w:rPr>
              <w:t xml:space="preserve">443 master items instantiated per deal</w:t>
            </w:r>
          </w:p>
        </w:tc>
        <w:tc>
          <w:tcPr>
            <w:tcW w:type="dxa" w:w="1200"/>
            <w:tcBorders>
              <w:top w:val="single" w:color="B0C4DE" w:sz="1"/>
              <w:left w:val="single" w:color="B0C4DE" w:sz="1"/>
              <w:bottom w:val="single" w:color="B0C4DE" w:sz="1"/>
              <w:right w:val="single" w:color="B0C4DE" w:sz="1"/>
            </w:tcBorders>
            <w:shd w:fill="F0F6FF" w:val="clear"/>
            <w:tcMar>
              <w:top w:type="dxa" w:w="60"/>
              <w:left w:type="dxa" w:w="100"/>
              <w:bottom w:type="dxa" w:w="60"/>
              <w:right w:type="dxa" w:w="100"/>
            </w:tcMar>
            <w:vAlign w:val="center"/>
          </w:tcPr>
          <w:p>
            <w:pPr>
              <w:jc w:val="center"/>
            </w:pPr>
            <w:r>
              <w:rPr>
                <w:rFonts w:ascii="Arial" w:cs="Arial" w:eastAsia="Arial" w:hAnsi="Arial"/>
                <w:sz w:val="18"/>
                <w:szCs w:val="18"/>
              </w:rPr>
              <w:t xml:space="preserve">21</w:t>
            </w:r>
          </w:p>
        </w:tc>
        <w:tc>
          <w:tcPr>
            <w:tcW w:type="dxa" w:w="2800"/>
            <w:tcBorders>
              <w:top w:val="single" w:color="B0C4DE" w:sz="1"/>
              <w:left w:val="single" w:color="B0C4DE" w:sz="1"/>
              <w:bottom w:val="single" w:color="B0C4DE" w:sz="1"/>
              <w:right w:val="single" w:color="B0C4DE" w:sz="1"/>
            </w:tcBorders>
            <w:shd w:fill="F0F6FF" w:val="clear"/>
            <w:tcMar>
              <w:top w:type="dxa" w:w="60"/>
              <w:left w:type="dxa" w:w="100"/>
              <w:bottom w:type="dxa" w:w="60"/>
              <w:right w:type="dxa" w:w="100"/>
            </w:tcMar>
            <w:vAlign w:val="center"/>
          </w:tcPr>
          <w:p>
            <w:r>
              <w:rPr>
                <w:rFonts w:ascii="Arial" w:cs="Arial" w:eastAsia="Arial" w:hAnsi="Arial"/>
                <w:sz w:val="18"/>
                <w:szCs w:val="18"/>
              </w:rPr>
              <w:t xml:space="preserve">Phase 1</w:t>
            </w:r>
          </w:p>
        </w:tc>
      </w:tr>
      <w:tr>
        <w:tc>
          <w:tcPr>
            <w:tcW w:type="dxa" w:w="160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b/>
                <w:bCs/>
                <w:sz w:val="18"/>
                <w:szCs w:val="18"/>
              </w:rPr>
              <w:t xml:space="preserve">public</w:t>
            </w:r>
          </w:p>
        </w:tc>
        <w:tc>
          <w:tcPr>
            <w:tcW w:type="dxa" w:w="240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b/>
                <w:bCs/>
                <w:sz w:val="18"/>
                <w:szCs w:val="18"/>
              </w:rPr>
              <w:t xml:space="preserve">team_members</w:t>
            </w:r>
          </w:p>
        </w:tc>
        <w:tc>
          <w:tcPr>
            <w:tcW w:type="dxa" w:w="544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sz w:val="18"/>
                <w:szCs w:val="18"/>
              </w:rPr>
              <w:t xml:space="preserve">Deal team roster</w:t>
            </w:r>
          </w:p>
        </w:tc>
        <w:tc>
          <w:tcPr>
            <w:tcW w:type="dxa" w:w="120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7</w:t>
            </w:r>
          </w:p>
        </w:tc>
        <w:tc>
          <w:tcPr>
            <w:tcW w:type="dxa" w:w="280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sz w:val="18"/>
                <w:szCs w:val="18"/>
              </w:rPr>
              <w:t xml:space="preserve">Phase 1</w:t>
            </w:r>
          </w:p>
        </w:tc>
      </w:tr>
      <w:tr>
        <w:tc>
          <w:tcPr>
            <w:tcW w:type="dxa" w:w="1600"/>
            <w:tcBorders>
              <w:top w:val="single" w:color="B0C4DE" w:sz="1"/>
              <w:left w:val="single" w:color="B0C4DE" w:sz="1"/>
              <w:bottom w:val="single" w:color="B0C4DE" w:sz="1"/>
              <w:right w:val="single" w:color="B0C4DE" w:sz="1"/>
            </w:tcBorders>
            <w:shd w:fill="F0F6FF" w:val="clear"/>
            <w:tcMar>
              <w:top w:type="dxa" w:w="60"/>
              <w:left w:type="dxa" w:w="100"/>
              <w:bottom w:type="dxa" w:w="60"/>
              <w:right w:type="dxa" w:w="100"/>
            </w:tcMar>
            <w:vAlign w:val="center"/>
          </w:tcPr>
          <w:p>
            <w:r>
              <w:rPr>
                <w:rFonts w:ascii="Arial" w:cs="Arial" w:eastAsia="Arial" w:hAnsi="Arial"/>
                <w:b/>
                <w:bCs/>
                <w:sz w:val="18"/>
                <w:szCs w:val="18"/>
              </w:rPr>
              <w:t xml:space="preserve">public</w:t>
            </w:r>
          </w:p>
        </w:tc>
        <w:tc>
          <w:tcPr>
            <w:tcW w:type="dxa" w:w="2400"/>
            <w:tcBorders>
              <w:top w:val="single" w:color="B0C4DE" w:sz="1"/>
              <w:left w:val="single" w:color="B0C4DE" w:sz="1"/>
              <w:bottom w:val="single" w:color="B0C4DE" w:sz="1"/>
              <w:right w:val="single" w:color="B0C4DE" w:sz="1"/>
            </w:tcBorders>
            <w:shd w:fill="F0F6FF" w:val="clear"/>
            <w:tcMar>
              <w:top w:type="dxa" w:w="60"/>
              <w:left w:type="dxa" w:w="100"/>
              <w:bottom w:type="dxa" w:w="60"/>
              <w:right w:type="dxa" w:w="100"/>
            </w:tcMar>
            <w:vAlign w:val="center"/>
          </w:tcPr>
          <w:p>
            <w:r>
              <w:rPr>
                <w:rFonts w:ascii="Arial" w:cs="Arial" w:eastAsia="Arial" w:hAnsi="Arial"/>
                <w:b/>
                <w:bCs/>
                <w:sz w:val="18"/>
                <w:szCs w:val="18"/>
              </w:rPr>
              <w:t xml:space="preserve">risk_alerts</w:t>
            </w:r>
          </w:p>
        </w:tc>
        <w:tc>
          <w:tcPr>
            <w:tcW w:type="dxa" w:w="5440"/>
            <w:tcBorders>
              <w:top w:val="single" w:color="B0C4DE" w:sz="1"/>
              <w:left w:val="single" w:color="B0C4DE" w:sz="1"/>
              <w:bottom w:val="single" w:color="B0C4DE" w:sz="1"/>
              <w:right w:val="single" w:color="B0C4DE" w:sz="1"/>
            </w:tcBorders>
            <w:shd w:fill="F0F6FF" w:val="clear"/>
            <w:tcMar>
              <w:top w:type="dxa" w:w="60"/>
              <w:left w:type="dxa" w:w="100"/>
              <w:bottom w:type="dxa" w:w="60"/>
              <w:right w:type="dxa" w:w="100"/>
            </w:tcMar>
            <w:vAlign w:val="center"/>
          </w:tcPr>
          <w:p>
            <w:r>
              <w:rPr>
                <w:rFonts w:ascii="Arial" w:cs="Arial" w:eastAsia="Arial" w:hAnsi="Arial"/>
                <w:sz w:val="18"/>
                <w:szCs w:val="18"/>
              </w:rPr>
              <w:t xml:space="preserve">AI-generated risk flags</w:t>
            </w:r>
          </w:p>
        </w:tc>
        <w:tc>
          <w:tcPr>
            <w:tcW w:type="dxa" w:w="1200"/>
            <w:tcBorders>
              <w:top w:val="single" w:color="B0C4DE" w:sz="1"/>
              <w:left w:val="single" w:color="B0C4DE" w:sz="1"/>
              <w:bottom w:val="single" w:color="B0C4DE" w:sz="1"/>
              <w:right w:val="single" w:color="B0C4DE" w:sz="1"/>
            </w:tcBorders>
            <w:shd w:fill="F0F6FF" w:val="clear"/>
            <w:tcMar>
              <w:top w:type="dxa" w:w="60"/>
              <w:left w:type="dxa" w:w="100"/>
              <w:bottom w:type="dxa" w:w="60"/>
              <w:right w:type="dxa" w:w="100"/>
            </w:tcMar>
            <w:vAlign w:val="center"/>
          </w:tcPr>
          <w:p>
            <w:pPr>
              <w:jc w:val="center"/>
            </w:pPr>
            <w:r>
              <w:rPr>
                <w:rFonts w:ascii="Arial" w:cs="Arial" w:eastAsia="Arial" w:hAnsi="Arial"/>
                <w:sz w:val="18"/>
                <w:szCs w:val="18"/>
              </w:rPr>
              <w:t xml:space="preserve">11</w:t>
            </w:r>
          </w:p>
        </w:tc>
        <w:tc>
          <w:tcPr>
            <w:tcW w:type="dxa" w:w="2800"/>
            <w:tcBorders>
              <w:top w:val="single" w:color="B0C4DE" w:sz="1"/>
              <w:left w:val="single" w:color="B0C4DE" w:sz="1"/>
              <w:bottom w:val="single" w:color="B0C4DE" w:sz="1"/>
              <w:right w:val="single" w:color="B0C4DE" w:sz="1"/>
            </w:tcBorders>
            <w:shd w:fill="F0F6FF" w:val="clear"/>
            <w:tcMar>
              <w:top w:type="dxa" w:w="60"/>
              <w:left w:type="dxa" w:w="100"/>
              <w:bottom w:type="dxa" w:w="60"/>
              <w:right w:type="dxa" w:w="100"/>
            </w:tcMar>
            <w:vAlign w:val="center"/>
          </w:tcPr>
          <w:p>
            <w:r>
              <w:rPr>
                <w:rFonts w:ascii="Arial" w:cs="Arial" w:eastAsia="Arial" w:hAnsi="Arial"/>
                <w:sz w:val="18"/>
                <w:szCs w:val="18"/>
              </w:rPr>
              <w:t xml:space="preserve">Phase 1</w:t>
            </w:r>
          </w:p>
        </w:tc>
      </w:tr>
      <w:tr>
        <w:tc>
          <w:tcPr>
            <w:tcW w:type="dxa" w:w="160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b/>
                <w:bCs/>
                <w:sz w:val="18"/>
                <w:szCs w:val="18"/>
              </w:rPr>
              <w:t xml:space="preserve">public</w:t>
            </w:r>
          </w:p>
        </w:tc>
        <w:tc>
          <w:tcPr>
            <w:tcW w:type="dxa" w:w="240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b/>
                <w:bCs/>
                <w:sz w:val="18"/>
                <w:szCs w:val="18"/>
              </w:rPr>
              <w:t xml:space="preserve">tsa_services</w:t>
            </w:r>
          </w:p>
        </w:tc>
        <w:tc>
          <w:tcPr>
            <w:tcW w:type="dxa" w:w="544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sz w:val="18"/>
                <w:szCs w:val="18"/>
              </w:rPr>
              <w:t xml:space="preserve">TSA service inventory with SLAs</w:t>
            </w:r>
          </w:p>
        </w:tc>
        <w:tc>
          <w:tcPr>
            <w:tcW w:type="dxa" w:w="120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11</w:t>
            </w:r>
          </w:p>
        </w:tc>
        <w:tc>
          <w:tcPr>
            <w:tcW w:type="dxa" w:w="280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sz w:val="18"/>
                <w:szCs w:val="18"/>
              </w:rPr>
              <w:t xml:space="preserve">Phase 2</w:t>
            </w:r>
          </w:p>
        </w:tc>
      </w:tr>
      <w:tr>
        <w:tc>
          <w:tcPr>
            <w:tcW w:type="dxa" w:w="1600"/>
            <w:tcBorders>
              <w:top w:val="single" w:color="B0C4DE" w:sz="1"/>
              <w:left w:val="single" w:color="B0C4DE" w:sz="1"/>
              <w:bottom w:val="single" w:color="B0C4DE" w:sz="1"/>
              <w:right w:val="single" w:color="B0C4DE" w:sz="1"/>
            </w:tcBorders>
            <w:shd w:fill="F0F6FF" w:val="clear"/>
            <w:tcMar>
              <w:top w:type="dxa" w:w="60"/>
              <w:left w:type="dxa" w:w="100"/>
              <w:bottom w:type="dxa" w:w="60"/>
              <w:right w:type="dxa" w:w="100"/>
            </w:tcMar>
            <w:vAlign w:val="center"/>
          </w:tcPr>
          <w:p>
            <w:r>
              <w:rPr>
                <w:rFonts w:ascii="Arial" w:cs="Arial" w:eastAsia="Arial" w:hAnsi="Arial"/>
                <w:b/>
                <w:bCs/>
                <w:sz w:val="18"/>
                <w:szCs w:val="18"/>
              </w:rPr>
              <w:t xml:space="preserve">config</w:t>
            </w:r>
          </w:p>
        </w:tc>
        <w:tc>
          <w:tcPr>
            <w:tcW w:type="dxa" w:w="2400"/>
            <w:tcBorders>
              <w:top w:val="single" w:color="B0C4DE" w:sz="1"/>
              <w:left w:val="single" w:color="B0C4DE" w:sz="1"/>
              <w:bottom w:val="single" w:color="B0C4DE" w:sz="1"/>
              <w:right w:val="single" w:color="B0C4DE" w:sz="1"/>
            </w:tcBorders>
            <w:shd w:fill="F0F6FF" w:val="clear"/>
            <w:tcMar>
              <w:top w:type="dxa" w:w="60"/>
              <w:left w:type="dxa" w:w="100"/>
              <w:bottom w:type="dxa" w:w="60"/>
              <w:right w:type="dxa" w:w="100"/>
            </w:tcMar>
            <w:vAlign w:val="center"/>
          </w:tcPr>
          <w:p>
            <w:r>
              <w:rPr>
                <w:rFonts w:ascii="Arial" w:cs="Arial" w:eastAsia="Arial" w:hAnsi="Arial"/>
                <w:b/>
                <w:bCs/>
                <w:sz w:val="18"/>
                <w:szCs w:val="18"/>
              </w:rPr>
              <w:t xml:space="preserve">risk_rules</w:t>
            </w:r>
          </w:p>
        </w:tc>
        <w:tc>
          <w:tcPr>
            <w:tcW w:type="dxa" w:w="5440"/>
            <w:tcBorders>
              <w:top w:val="single" w:color="B0C4DE" w:sz="1"/>
              <w:left w:val="single" w:color="B0C4DE" w:sz="1"/>
              <w:bottom w:val="single" w:color="B0C4DE" w:sz="1"/>
              <w:right w:val="single" w:color="B0C4DE" w:sz="1"/>
            </w:tcBorders>
            <w:shd w:fill="F0F6FF" w:val="clear"/>
            <w:tcMar>
              <w:top w:type="dxa" w:w="60"/>
              <w:left w:type="dxa" w:w="100"/>
              <w:bottom w:type="dxa" w:w="60"/>
              <w:right w:type="dxa" w:w="100"/>
            </w:tcMar>
            <w:vAlign w:val="center"/>
          </w:tcPr>
          <w:p>
            <w:r>
              <w:rPr>
                <w:rFonts w:ascii="Arial" w:cs="Arial" w:eastAsia="Arial" w:hAnsi="Arial"/>
                <w:sz w:val="18"/>
                <w:szCs w:val="18"/>
              </w:rPr>
              <w:t xml:space="preserve">Section 6 detection logic (JSON predicates)</w:t>
            </w:r>
          </w:p>
        </w:tc>
        <w:tc>
          <w:tcPr>
            <w:tcW w:type="dxa" w:w="1200"/>
            <w:tcBorders>
              <w:top w:val="single" w:color="B0C4DE" w:sz="1"/>
              <w:left w:val="single" w:color="B0C4DE" w:sz="1"/>
              <w:bottom w:val="single" w:color="B0C4DE" w:sz="1"/>
              <w:right w:val="single" w:color="B0C4DE" w:sz="1"/>
            </w:tcBorders>
            <w:shd w:fill="F0F6FF" w:val="clear"/>
            <w:tcMar>
              <w:top w:type="dxa" w:w="60"/>
              <w:left w:type="dxa" w:w="100"/>
              <w:bottom w:type="dxa" w:w="60"/>
              <w:right w:type="dxa" w:w="100"/>
            </w:tcMar>
            <w:vAlign w:val="center"/>
          </w:tcPr>
          <w:p>
            <w:pPr>
              <w:jc w:val="center"/>
            </w:pPr>
            <w:r>
              <w:rPr>
                <w:rFonts w:ascii="Arial" w:cs="Arial" w:eastAsia="Arial" w:hAnsi="Arial"/>
                <w:sz w:val="18"/>
                <w:szCs w:val="18"/>
              </w:rPr>
              <w:t xml:space="preserve">7</w:t>
            </w:r>
          </w:p>
        </w:tc>
        <w:tc>
          <w:tcPr>
            <w:tcW w:type="dxa" w:w="2800"/>
            <w:tcBorders>
              <w:top w:val="single" w:color="B0C4DE" w:sz="1"/>
              <w:left w:val="single" w:color="B0C4DE" w:sz="1"/>
              <w:bottom w:val="single" w:color="B0C4DE" w:sz="1"/>
              <w:right w:val="single" w:color="B0C4DE" w:sz="1"/>
            </w:tcBorders>
            <w:shd w:fill="F0F6FF" w:val="clear"/>
            <w:tcMar>
              <w:top w:type="dxa" w:w="60"/>
              <w:left w:type="dxa" w:w="100"/>
              <w:bottom w:type="dxa" w:w="60"/>
              <w:right w:type="dxa" w:w="100"/>
            </w:tcMar>
            <w:vAlign w:val="center"/>
          </w:tcPr>
          <w:p>
            <w:r>
              <w:rPr>
                <w:rFonts w:ascii="Arial" w:cs="Arial" w:eastAsia="Arial" w:hAnsi="Arial"/>
                <w:sz w:val="18"/>
                <w:szCs w:val="18"/>
              </w:rPr>
              <w:t xml:space="preserve">Phase 1</w:t>
            </w:r>
          </w:p>
        </w:tc>
      </w:tr>
      <w:tr>
        <w:tc>
          <w:tcPr>
            <w:tcW w:type="dxa" w:w="160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b/>
                <w:bCs/>
                <w:sz w:val="18"/>
                <w:szCs w:val="18"/>
              </w:rPr>
              <w:t xml:space="preserve">config</w:t>
            </w:r>
          </w:p>
        </w:tc>
        <w:tc>
          <w:tcPr>
            <w:tcW w:type="dxa" w:w="240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b/>
                <w:bCs/>
                <w:sz w:val="18"/>
                <w:szCs w:val="18"/>
              </w:rPr>
              <w:t xml:space="preserve">guidance_library</w:t>
            </w:r>
          </w:p>
        </w:tc>
        <w:tc>
          <w:tcPr>
            <w:tcW w:type="dxa" w:w="544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sz w:val="18"/>
                <w:szCs w:val="18"/>
              </w:rPr>
              <w:t xml:space="preserve">FR-13 AI prompt templates</w:t>
            </w:r>
          </w:p>
        </w:tc>
        <w:tc>
          <w:tcPr>
            <w:tcW w:type="dxa" w:w="120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6</w:t>
            </w:r>
          </w:p>
        </w:tc>
        <w:tc>
          <w:tcPr>
            <w:tcW w:type="dxa" w:w="280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sz w:val="18"/>
                <w:szCs w:val="18"/>
              </w:rPr>
              <w:t xml:space="preserve">Phase 1</w:t>
            </w:r>
          </w:p>
        </w:tc>
      </w:tr>
      <w:tr>
        <w:tc>
          <w:tcPr>
            <w:tcW w:type="dxa" w:w="1600"/>
            <w:tcBorders>
              <w:top w:val="single" w:color="B0C4DE" w:sz="1"/>
              <w:left w:val="single" w:color="B0C4DE" w:sz="1"/>
              <w:bottom w:val="single" w:color="B0C4DE" w:sz="1"/>
              <w:right w:val="single" w:color="B0C4DE" w:sz="1"/>
            </w:tcBorders>
            <w:shd w:fill="F0F6FF" w:val="clear"/>
            <w:tcMar>
              <w:top w:type="dxa" w:w="60"/>
              <w:left w:type="dxa" w:w="100"/>
              <w:bottom w:type="dxa" w:w="60"/>
              <w:right w:type="dxa" w:w="100"/>
            </w:tcMar>
            <w:vAlign w:val="center"/>
          </w:tcPr>
          <w:p>
            <w:r>
              <w:rPr>
                <w:rFonts w:ascii="Arial" w:cs="Arial" w:eastAsia="Arial" w:hAnsi="Arial"/>
                <w:b/>
                <w:bCs/>
                <w:sz w:val="18"/>
                <w:szCs w:val="18"/>
              </w:rPr>
              <w:t xml:space="preserve">config</w:t>
            </w:r>
          </w:p>
        </w:tc>
        <w:tc>
          <w:tcPr>
            <w:tcW w:type="dxa" w:w="2400"/>
            <w:tcBorders>
              <w:top w:val="single" w:color="B0C4DE" w:sz="1"/>
              <w:left w:val="single" w:color="B0C4DE" w:sz="1"/>
              <w:bottom w:val="single" w:color="B0C4DE" w:sz="1"/>
              <w:right w:val="single" w:color="B0C4DE" w:sz="1"/>
            </w:tcBorders>
            <w:shd w:fill="F0F6FF" w:val="clear"/>
            <w:tcMar>
              <w:top w:type="dxa" w:w="60"/>
              <w:left w:type="dxa" w:w="100"/>
              <w:bottom w:type="dxa" w:w="60"/>
              <w:right w:type="dxa" w:w="100"/>
            </w:tcMar>
            <w:vAlign w:val="center"/>
          </w:tcPr>
          <w:p>
            <w:r>
              <w:rPr>
                <w:rFonts w:ascii="Arial" w:cs="Arial" w:eastAsia="Arial" w:hAnsi="Arial"/>
                <w:b/>
                <w:bCs/>
                <w:sz w:val="18"/>
                <w:szCs w:val="18"/>
              </w:rPr>
              <w:t xml:space="preserve">prompt_versions</w:t>
            </w:r>
          </w:p>
        </w:tc>
        <w:tc>
          <w:tcPr>
            <w:tcW w:type="dxa" w:w="5440"/>
            <w:tcBorders>
              <w:top w:val="single" w:color="B0C4DE" w:sz="1"/>
              <w:left w:val="single" w:color="B0C4DE" w:sz="1"/>
              <w:bottom w:val="single" w:color="B0C4DE" w:sz="1"/>
              <w:right w:val="single" w:color="B0C4DE" w:sz="1"/>
            </w:tcBorders>
            <w:shd w:fill="F0F6FF" w:val="clear"/>
            <w:tcMar>
              <w:top w:type="dxa" w:w="60"/>
              <w:left w:type="dxa" w:w="100"/>
              <w:bottom w:type="dxa" w:w="60"/>
              <w:right w:type="dxa" w:w="100"/>
            </w:tcMar>
            <w:vAlign w:val="center"/>
          </w:tcPr>
          <w:p>
            <w:r>
              <w:rPr>
                <w:rFonts w:ascii="Arial" w:cs="Arial" w:eastAsia="Arial" w:hAnsi="Arial"/>
                <w:sz w:val="18"/>
                <w:szCs w:val="18"/>
              </w:rPr>
              <w:t xml:space="preserve">Versioned system prompts (Training Tool T-1)</w:t>
            </w:r>
          </w:p>
        </w:tc>
        <w:tc>
          <w:tcPr>
            <w:tcW w:type="dxa" w:w="1200"/>
            <w:tcBorders>
              <w:top w:val="single" w:color="B0C4DE" w:sz="1"/>
              <w:left w:val="single" w:color="B0C4DE" w:sz="1"/>
              <w:bottom w:val="single" w:color="B0C4DE" w:sz="1"/>
              <w:right w:val="single" w:color="B0C4DE" w:sz="1"/>
            </w:tcBorders>
            <w:shd w:fill="F0F6FF" w:val="clear"/>
            <w:tcMar>
              <w:top w:type="dxa" w:w="60"/>
              <w:left w:type="dxa" w:w="100"/>
              <w:bottom w:type="dxa" w:w="60"/>
              <w:right w:type="dxa" w:w="100"/>
            </w:tcMar>
            <w:vAlign w:val="center"/>
          </w:tcPr>
          <w:p>
            <w:pPr>
              <w:jc w:val="center"/>
            </w:pPr>
            <w:r>
              <w:rPr>
                <w:rFonts w:ascii="Arial" w:cs="Arial" w:eastAsia="Arial" w:hAnsi="Arial"/>
                <w:sz w:val="18"/>
                <w:szCs w:val="18"/>
              </w:rPr>
              <w:t xml:space="preserve">8</w:t>
            </w:r>
          </w:p>
        </w:tc>
        <w:tc>
          <w:tcPr>
            <w:tcW w:type="dxa" w:w="2800"/>
            <w:tcBorders>
              <w:top w:val="single" w:color="B0C4DE" w:sz="1"/>
              <w:left w:val="single" w:color="B0C4DE" w:sz="1"/>
              <w:bottom w:val="single" w:color="B0C4DE" w:sz="1"/>
              <w:right w:val="single" w:color="B0C4DE" w:sz="1"/>
            </w:tcBorders>
            <w:shd w:fill="F0F6FF" w:val="clear"/>
            <w:tcMar>
              <w:top w:type="dxa" w:w="60"/>
              <w:left w:type="dxa" w:w="100"/>
              <w:bottom w:type="dxa" w:w="60"/>
              <w:right w:type="dxa" w:w="100"/>
            </w:tcMar>
            <w:vAlign w:val="center"/>
          </w:tcPr>
          <w:p>
            <w:r>
              <w:rPr>
                <w:rFonts w:ascii="Arial" w:cs="Arial" w:eastAsia="Arial" w:hAnsi="Arial"/>
                <w:sz w:val="18"/>
                <w:szCs w:val="18"/>
              </w:rPr>
              <w:t xml:space="preserve">Phase 1</w:t>
            </w:r>
          </w:p>
        </w:tc>
      </w:tr>
      <w:tr>
        <w:tc>
          <w:tcPr>
            <w:tcW w:type="dxa" w:w="160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b/>
                <w:bCs/>
                <w:sz w:val="18"/>
                <w:szCs w:val="18"/>
              </w:rPr>
              <w:t xml:space="preserve">audit</w:t>
            </w:r>
          </w:p>
        </w:tc>
        <w:tc>
          <w:tcPr>
            <w:tcW w:type="dxa" w:w="240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b/>
                <w:bCs/>
                <w:sz w:val="18"/>
                <w:szCs w:val="18"/>
              </w:rPr>
              <w:t xml:space="preserve">status_history</w:t>
            </w:r>
          </w:p>
        </w:tc>
        <w:tc>
          <w:tcPr>
            <w:tcW w:type="dxa" w:w="544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sz w:val="18"/>
                <w:szCs w:val="18"/>
              </w:rPr>
              <w:t xml:space="preserve">Immutable state transition log</w:t>
            </w:r>
          </w:p>
        </w:tc>
        <w:tc>
          <w:tcPr>
            <w:tcW w:type="dxa" w:w="120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8</w:t>
            </w:r>
          </w:p>
        </w:tc>
        <w:tc>
          <w:tcPr>
            <w:tcW w:type="dxa" w:w="280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sz w:val="18"/>
                <w:szCs w:val="18"/>
              </w:rPr>
              <w:t xml:space="preserve">Phase 1</w:t>
            </w:r>
          </w:p>
        </w:tc>
      </w:tr>
      <w:tr>
        <w:tc>
          <w:tcPr>
            <w:tcW w:type="dxa" w:w="1600"/>
            <w:tcBorders>
              <w:top w:val="single" w:color="B0C4DE" w:sz="1"/>
              <w:left w:val="single" w:color="B0C4DE" w:sz="1"/>
              <w:bottom w:val="single" w:color="B0C4DE" w:sz="1"/>
              <w:right w:val="single" w:color="B0C4DE" w:sz="1"/>
            </w:tcBorders>
            <w:shd w:fill="F0F6FF" w:val="clear"/>
            <w:tcMar>
              <w:top w:type="dxa" w:w="60"/>
              <w:left w:type="dxa" w:w="100"/>
              <w:bottom w:type="dxa" w:w="60"/>
              <w:right w:type="dxa" w:w="100"/>
            </w:tcMar>
            <w:vAlign w:val="center"/>
          </w:tcPr>
          <w:p>
            <w:r>
              <w:rPr>
                <w:rFonts w:ascii="Arial" w:cs="Arial" w:eastAsia="Arial" w:hAnsi="Arial"/>
                <w:b/>
                <w:bCs/>
                <w:sz w:val="18"/>
                <w:szCs w:val="18"/>
              </w:rPr>
              <w:t xml:space="preserve">audit</w:t>
            </w:r>
          </w:p>
        </w:tc>
        <w:tc>
          <w:tcPr>
            <w:tcW w:type="dxa" w:w="2400"/>
            <w:tcBorders>
              <w:top w:val="single" w:color="B0C4DE" w:sz="1"/>
              <w:left w:val="single" w:color="B0C4DE" w:sz="1"/>
              <w:bottom w:val="single" w:color="B0C4DE" w:sz="1"/>
              <w:right w:val="single" w:color="B0C4DE" w:sz="1"/>
            </w:tcBorders>
            <w:shd w:fill="F0F6FF" w:val="clear"/>
            <w:tcMar>
              <w:top w:type="dxa" w:w="60"/>
              <w:left w:type="dxa" w:w="100"/>
              <w:bottom w:type="dxa" w:w="60"/>
              <w:right w:type="dxa" w:w="100"/>
            </w:tcMar>
            <w:vAlign w:val="center"/>
          </w:tcPr>
          <w:p>
            <w:r>
              <w:rPr>
                <w:rFonts w:ascii="Arial" w:cs="Arial" w:eastAsia="Arial" w:hAnsi="Arial"/>
                <w:b/>
                <w:bCs/>
                <w:sz w:val="18"/>
                <w:szCs w:val="18"/>
              </w:rPr>
              <w:t xml:space="preserve">ai_feedback</w:t>
            </w:r>
          </w:p>
        </w:tc>
        <w:tc>
          <w:tcPr>
            <w:tcW w:type="dxa" w:w="5440"/>
            <w:tcBorders>
              <w:top w:val="single" w:color="B0C4DE" w:sz="1"/>
              <w:left w:val="single" w:color="B0C4DE" w:sz="1"/>
              <w:bottom w:val="single" w:color="B0C4DE" w:sz="1"/>
              <w:right w:val="single" w:color="B0C4DE" w:sz="1"/>
            </w:tcBorders>
            <w:shd w:fill="F0F6FF" w:val="clear"/>
            <w:tcMar>
              <w:top w:type="dxa" w:w="60"/>
              <w:left w:type="dxa" w:w="100"/>
              <w:bottom w:type="dxa" w:w="60"/>
              <w:right w:type="dxa" w:w="100"/>
            </w:tcMar>
            <w:vAlign w:val="center"/>
          </w:tcPr>
          <w:p>
            <w:r>
              <w:rPr>
                <w:rFonts w:ascii="Arial" w:cs="Arial" w:eastAsia="Arial" w:hAnsi="Arial"/>
                <w:sz w:val="18"/>
                <w:szCs w:val="18"/>
              </w:rPr>
              <w:t xml:space="preserve">Recommendation accept/reject log (Training Tool T-4)</w:t>
            </w:r>
          </w:p>
        </w:tc>
        <w:tc>
          <w:tcPr>
            <w:tcW w:type="dxa" w:w="1200"/>
            <w:tcBorders>
              <w:top w:val="single" w:color="B0C4DE" w:sz="1"/>
              <w:left w:val="single" w:color="B0C4DE" w:sz="1"/>
              <w:bottom w:val="single" w:color="B0C4DE" w:sz="1"/>
              <w:right w:val="single" w:color="B0C4DE" w:sz="1"/>
            </w:tcBorders>
            <w:shd w:fill="F0F6FF" w:val="clear"/>
            <w:tcMar>
              <w:top w:type="dxa" w:w="60"/>
              <w:left w:type="dxa" w:w="100"/>
              <w:bottom w:type="dxa" w:w="60"/>
              <w:right w:type="dxa" w:w="100"/>
            </w:tcMar>
            <w:vAlign w:val="center"/>
          </w:tcPr>
          <w:p>
            <w:pPr>
              <w:jc w:val="center"/>
            </w:pPr>
            <w:r>
              <w:rPr>
                <w:rFonts w:ascii="Arial" w:cs="Arial" w:eastAsia="Arial" w:hAnsi="Arial"/>
                <w:sz w:val="18"/>
                <w:szCs w:val="18"/>
              </w:rPr>
              <w:t xml:space="preserve">9</w:t>
            </w:r>
          </w:p>
        </w:tc>
        <w:tc>
          <w:tcPr>
            <w:tcW w:type="dxa" w:w="2800"/>
            <w:tcBorders>
              <w:top w:val="single" w:color="B0C4DE" w:sz="1"/>
              <w:left w:val="single" w:color="B0C4DE" w:sz="1"/>
              <w:bottom w:val="single" w:color="B0C4DE" w:sz="1"/>
              <w:right w:val="single" w:color="B0C4DE" w:sz="1"/>
            </w:tcBorders>
            <w:shd w:fill="F0F6FF" w:val="clear"/>
            <w:tcMar>
              <w:top w:type="dxa" w:w="60"/>
              <w:left w:type="dxa" w:w="100"/>
              <w:bottom w:type="dxa" w:w="60"/>
              <w:right w:type="dxa" w:w="100"/>
            </w:tcMar>
            <w:vAlign w:val="center"/>
          </w:tcPr>
          <w:p>
            <w:r>
              <w:rPr>
                <w:rFonts w:ascii="Arial" w:cs="Arial" w:eastAsia="Arial" w:hAnsi="Arial"/>
                <w:sz w:val="18"/>
                <w:szCs w:val="18"/>
              </w:rPr>
              <w:t xml:space="preserve">Phase 1</w:t>
            </w:r>
          </w:p>
        </w:tc>
      </w:tr>
      <w:tr>
        <w:tc>
          <w:tcPr>
            <w:tcW w:type="dxa" w:w="160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b/>
                <w:bCs/>
                <w:sz w:val="18"/>
                <w:szCs w:val="18"/>
              </w:rPr>
              <w:t xml:space="preserve">knowledge</w:t>
            </w:r>
          </w:p>
        </w:tc>
        <w:tc>
          <w:tcPr>
            <w:tcW w:type="dxa" w:w="240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b/>
                <w:bCs/>
                <w:sz w:val="18"/>
                <w:szCs w:val="18"/>
              </w:rPr>
              <w:t xml:space="preserve">documents</w:t>
            </w:r>
          </w:p>
        </w:tc>
        <w:tc>
          <w:tcPr>
            <w:tcW w:type="dxa" w:w="544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sz w:val="18"/>
                <w:szCs w:val="18"/>
              </w:rPr>
              <w:t xml:space="preserve">Source document metadata and embeddings</w:t>
            </w:r>
          </w:p>
        </w:tc>
        <w:tc>
          <w:tcPr>
            <w:tcW w:type="dxa" w:w="120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10</w:t>
            </w:r>
          </w:p>
        </w:tc>
        <w:tc>
          <w:tcPr>
            <w:tcW w:type="dxa" w:w="280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sz w:val="18"/>
                <w:szCs w:val="18"/>
              </w:rPr>
              <w:t xml:space="preserve">Phase 2</w:t>
            </w:r>
          </w:p>
        </w:tc>
      </w:tr>
      <w:tr>
        <w:tc>
          <w:tcPr>
            <w:tcW w:type="dxa" w:w="1600"/>
            <w:tcBorders>
              <w:top w:val="single" w:color="B0C4DE" w:sz="1"/>
              <w:left w:val="single" w:color="B0C4DE" w:sz="1"/>
              <w:bottom w:val="single" w:color="B0C4DE" w:sz="1"/>
              <w:right w:val="single" w:color="B0C4DE" w:sz="1"/>
            </w:tcBorders>
            <w:shd w:fill="F0F6FF" w:val="clear"/>
            <w:tcMar>
              <w:top w:type="dxa" w:w="60"/>
              <w:left w:type="dxa" w:w="100"/>
              <w:bottom w:type="dxa" w:w="60"/>
              <w:right w:type="dxa" w:w="100"/>
            </w:tcMar>
            <w:vAlign w:val="center"/>
          </w:tcPr>
          <w:p>
            <w:r>
              <w:rPr>
                <w:rFonts w:ascii="Arial" w:cs="Arial" w:eastAsia="Arial" w:hAnsi="Arial"/>
                <w:b/>
                <w:bCs/>
                <w:sz w:val="18"/>
                <w:szCs w:val="18"/>
              </w:rPr>
              <w:t xml:space="preserve">knowledge</w:t>
            </w:r>
          </w:p>
        </w:tc>
        <w:tc>
          <w:tcPr>
            <w:tcW w:type="dxa" w:w="2400"/>
            <w:tcBorders>
              <w:top w:val="single" w:color="B0C4DE" w:sz="1"/>
              <w:left w:val="single" w:color="B0C4DE" w:sz="1"/>
              <w:bottom w:val="single" w:color="B0C4DE" w:sz="1"/>
              <w:right w:val="single" w:color="B0C4DE" w:sz="1"/>
            </w:tcBorders>
            <w:shd w:fill="F0F6FF" w:val="clear"/>
            <w:tcMar>
              <w:top w:type="dxa" w:w="60"/>
              <w:left w:type="dxa" w:w="100"/>
              <w:bottom w:type="dxa" w:w="60"/>
              <w:right w:type="dxa" w:w="100"/>
            </w:tcMar>
            <w:vAlign w:val="center"/>
          </w:tcPr>
          <w:p>
            <w:r>
              <w:rPr>
                <w:rFonts w:ascii="Arial" w:cs="Arial" w:eastAsia="Arial" w:hAnsi="Arial"/>
                <w:b/>
                <w:bCs/>
                <w:sz w:val="18"/>
                <w:szCs w:val="18"/>
              </w:rPr>
              <w:t xml:space="preserve">chunks</w:t>
            </w:r>
          </w:p>
        </w:tc>
        <w:tc>
          <w:tcPr>
            <w:tcW w:type="dxa" w:w="5440"/>
            <w:tcBorders>
              <w:top w:val="single" w:color="B0C4DE" w:sz="1"/>
              <w:left w:val="single" w:color="B0C4DE" w:sz="1"/>
              <w:bottom w:val="single" w:color="B0C4DE" w:sz="1"/>
              <w:right w:val="single" w:color="B0C4DE" w:sz="1"/>
            </w:tcBorders>
            <w:shd w:fill="F0F6FF" w:val="clear"/>
            <w:tcMar>
              <w:top w:type="dxa" w:w="60"/>
              <w:left w:type="dxa" w:w="100"/>
              <w:bottom w:type="dxa" w:w="60"/>
              <w:right w:type="dxa" w:w="100"/>
            </w:tcMar>
            <w:vAlign w:val="center"/>
          </w:tcPr>
          <w:p>
            <w:r>
              <w:rPr>
                <w:rFonts w:ascii="Arial" w:cs="Arial" w:eastAsia="Arial" w:hAnsi="Arial"/>
                <w:sz w:val="18"/>
                <w:szCs w:val="18"/>
              </w:rPr>
              <w:t xml:space="preserve">Document chunks with vector embeddings (pgvector)</w:t>
            </w:r>
          </w:p>
        </w:tc>
        <w:tc>
          <w:tcPr>
            <w:tcW w:type="dxa" w:w="1200"/>
            <w:tcBorders>
              <w:top w:val="single" w:color="B0C4DE" w:sz="1"/>
              <w:left w:val="single" w:color="B0C4DE" w:sz="1"/>
              <w:bottom w:val="single" w:color="B0C4DE" w:sz="1"/>
              <w:right w:val="single" w:color="B0C4DE" w:sz="1"/>
            </w:tcBorders>
            <w:shd w:fill="F0F6FF" w:val="clear"/>
            <w:tcMar>
              <w:top w:type="dxa" w:w="60"/>
              <w:left w:type="dxa" w:w="100"/>
              <w:bottom w:type="dxa" w:w="60"/>
              <w:right w:type="dxa" w:w="100"/>
            </w:tcMar>
            <w:vAlign w:val="center"/>
          </w:tcPr>
          <w:p>
            <w:pPr>
              <w:jc w:val="center"/>
            </w:pPr>
            <w:r>
              <w:rPr>
                <w:rFonts w:ascii="Arial" w:cs="Arial" w:eastAsia="Arial" w:hAnsi="Arial"/>
                <w:sz w:val="18"/>
                <w:szCs w:val="18"/>
              </w:rPr>
              <w:t xml:space="preserve">8</w:t>
            </w:r>
          </w:p>
        </w:tc>
        <w:tc>
          <w:tcPr>
            <w:tcW w:type="dxa" w:w="2800"/>
            <w:tcBorders>
              <w:top w:val="single" w:color="B0C4DE" w:sz="1"/>
              <w:left w:val="single" w:color="B0C4DE" w:sz="1"/>
              <w:bottom w:val="single" w:color="B0C4DE" w:sz="1"/>
              <w:right w:val="single" w:color="B0C4DE" w:sz="1"/>
            </w:tcBorders>
            <w:shd w:fill="F0F6FF" w:val="clear"/>
            <w:tcMar>
              <w:top w:type="dxa" w:w="60"/>
              <w:left w:type="dxa" w:w="100"/>
              <w:bottom w:type="dxa" w:w="60"/>
              <w:right w:type="dxa" w:w="100"/>
            </w:tcMar>
            <w:vAlign w:val="center"/>
          </w:tcPr>
          <w:p>
            <w:r>
              <w:rPr>
                <w:rFonts w:ascii="Arial" w:cs="Arial" w:eastAsia="Arial" w:hAnsi="Arial"/>
                <w:sz w:val="18"/>
                <w:szCs w:val="18"/>
              </w:rPr>
              <w:t xml:space="preserve">Phase 2</w:t>
            </w:r>
          </w:p>
        </w:tc>
      </w:tr>
      <w:tr>
        <w:tc>
          <w:tcPr>
            <w:tcW w:type="dxa" w:w="160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b/>
                <w:bCs/>
                <w:sz w:val="18"/>
                <w:szCs w:val="18"/>
              </w:rPr>
              <w:t xml:space="preserve">agents</w:t>
            </w:r>
          </w:p>
        </w:tc>
        <w:tc>
          <w:tcPr>
            <w:tcW w:type="dxa" w:w="240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b/>
                <w:bCs/>
                <w:sz w:val="18"/>
                <w:szCs w:val="18"/>
              </w:rPr>
              <w:t xml:space="preserve">agent_state</w:t>
            </w:r>
          </w:p>
        </w:tc>
        <w:tc>
          <w:tcPr>
            <w:tcW w:type="dxa" w:w="544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sz w:val="18"/>
                <w:szCs w:val="18"/>
              </w:rPr>
              <w:t xml:space="preserve">Phase 2+ agent memory and recommendations</w:t>
            </w:r>
          </w:p>
        </w:tc>
        <w:tc>
          <w:tcPr>
            <w:tcW w:type="dxa" w:w="120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pPr>
              <w:jc w:val="center"/>
            </w:pPr>
            <w:r>
              <w:rPr>
                <w:rFonts w:ascii="Arial" w:cs="Arial" w:eastAsia="Arial" w:hAnsi="Arial"/>
                <w:sz w:val="18"/>
                <w:szCs w:val="18"/>
              </w:rPr>
              <w:t xml:space="preserve">7</w:t>
            </w:r>
          </w:p>
        </w:tc>
        <w:tc>
          <w:tcPr>
            <w:tcW w:type="dxa" w:w="280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sz w:val="18"/>
                <w:szCs w:val="18"/>
              </w:rPr>
              <w:t xml:space="preserve">Phase 2</w:t>
            </w:r>
          </w:p>
        </w:tc>
      </w:tr>
    </w:tbl>
    <w:p>
      <w:r>
        <w:br w:type="page"/>
      </w:r>
    </w:p>
    <w:p>
      <w:pPr>
        <w:pStyle w:val="Heading1"/>
      </w:pPr>
      <w:r>
        <w:rPr>
          <w:rFonts w:ascii="Arial" w:cs="Arial" w:eastAsia="Arial" w:hAnsi="Arial"/>
        </w:rPr>
        <w:t xml:space="preserve">6. Technology Stack</w:t>
      </w:r>
    </w:p>
    <w:tbl>
      <w:tblPr>
        <w:tblW w:type="dxa" w:w="1344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6240"/>
        <w:gridCol w:w="2200"/>
      </w:tblGrid>
      <w:tr>
        <w:tc>
          <w:tcPr>
            <w:tcW w:type="dxa" w:w="2200"/>
            <w:tcBorders>
              <w:top w:val="single" w:color="B0C4DE" w:sz="1"/>
              <w:left w:val="single" w:color="B0C4DE" w:sz="1"/>
              <w:bottom w:val="single" w:color="B0C4DE" w:sz="1"/>
              <w:right w:val="single" w:color="B0C4DE" w:sz="1"/>
            </w:tcBorders>
            <w:shd w:fill="1E3A5F" w:val="clear"/>
            <w:tcMar>
              <w:top w:type="dxa" w:w="60"/>
              <w:left w:type="dxa" w:w="100"/>
              <w:bottom w:type="dxa" w:w="60"/>
              <w:right w:type="dxa" w:w="100"/>
            </w:tcMar>
            <w:vAlign w:val="center"/>
          </w:tcPr>
          <w:p>
            <w:r>
              <w:rPr>
                <w:rFonts w:ascii="Arial" w:cs="Arial" w:eastAsia="Arial" w:hAnsi="Arial"/>
                <w:b/>
                <w:bCs/>
                <w:color w:val="FFFFFF"/>
                <w:sz w:val="18"/>
                <w:szCs w:val="18"/>
              </w:rPr>
              <w:t xml:space="preserve">Layer</w:t>
            </w:r>
          </w:p>
        </w:tc>
        <w:tc>
          <w:tcPr>
            <w:tcW w:type="dxa" w:w="2800"/>
            <w:tcBorders>
              <w:top w:val="single" w:color="B0C4DE" w:sz="1"/>
              <w:left w:val="single" w:color="B0C4DE" w:sz="1"/>
              <w:bottom w:val="single" w:color="B0C4DE" w:sz="1"/>
              <w:right w:val="single" w:color="B0C4DE" w:sz="1"/>
            </w:tcBorders>
            <w:shd w:fill="1E3A5F" w:val="clear"/>
            <w:tcMar>
              <w:top w:type="dxa" w:w="60"/>
              <w:left w:type="dxa" w:w="100"/>
              <w:bottom w:type="dxa" w:w="60"/>
              <w:right w:type="dxa" w:w="100"/>
            </w:tcMar>
            <w:vAlign w:val="center"/>
          </w:tcPr>
          <w:p>
            <w:r>
              <w:rPr>
                <w:rFonts w:ascii="Arial" w:cs="Arial" w:eastAsia="Arial" w:hAnsi="Arial"/>
                <w:b/>
                <w:bCs/>
                <w:color w:val="FFFFFF"/>
                <w:sz w:val="18"/>
                <w:szCs w:val="18"/>
              </w:rPr>
              <w:t xml:space="preserve">Technology</w:t>
            </w:r>
          </w:p>
        </w:tc>
        <w:tc>
          <w:tcPr>
            <w:tcW w:type="dxa" w:w="6240"/>
            <w:tcBorders>
              <w:top w:val="single" w:color="B0C4DE" w:sz="1"/>
              <w:left w:val="single" w:color="B0C4DE" w:sz="1"/>
              <w:bottom w:val="single" w:color="B0C4DE" w:sz="1"/>
              <w:right w:val="single" w:color="B0C4DE" w:sz="1"/>
            </w:tcBorders>
            <w:shd w:fill="1E3A5F" w:val="clear"/>
            <w:tcMar>
              <w:top w:type="dxa" w:w="60"/>
              <w:left w:type="dxa" w:w="100"/>
              <w:bottom w:type="dxa" w:w="60"/>
              <w:right w:type="dxa" w:w="100"/>
            </w:tcMar>
            <w:vAlign w:val="center"/>
          </w:tcPr>
          <w:p>
            <w:r>
              <w:rPr>
                <w:rFonts w:ascii="Arial" w:cs="Arial" w:eastAsia="Arial" w:hAnsi="Arial"/>
                <w:b/>
                <w:bCs/>
                <w:color w:val="FFFFFF"/>
                <w:sz w:val="18"/>
                <w:szCs w:val="18"/>
              </w:rPr>
              <w:t xml:space="preserve">Role</w:t>
            </w:r>
          </w:p>
        </w:tc>
        <w:tc>
          <w:tcPr>
            <w:tcW w:type="dxa" w:w="2200"/>
            <w:tcBorders>
              <w:top w:val="single" w:color="B0C4DE" w:sz="1"/>
              <w:left w:val="single" w:color="B0C4DE" w:sz="1"/>
              <w:bottom w:val="single" w:color="B0C4DE" w:sz="1"/>
              <w:right w:val="single" w:color="B0C4DE" w:sz="1"/>
            </w:tcBorders>
            <w:shd w:fill="1E3A5F" w:val="clear"/>
            <w:tcMar>
              <w:top w:type="dxa" w:w="60"/>
              <w:left w:type="dxa" w:w="100"/>
              <w:bottom w:type="dxa" w:w="60"/>
              <w:right w:type="dxa" w:w="100"/>
            </w:tcMar>
            <w:vAlign w:val="center"/>
          </w:tcPr>
          <w:p>
            <w:r>
              <w:rPr>
                <w:rFonts w:ascii="Arial" w:cs="Arial" w:eastAsia="Arial" w:hAnsi="Arial"/>
                <w:b/>
                <w:bCs/>
                <w:color w:val="FFFFFF"/>
                <w:sz w:val="18"/>
                <w:szCs w:val="18"/>
              </w:rPr>
              <w:t xml:space="preserve">Phase</w:t>
            </w:r>
          </w:p>
        </w:tc>
      </w:tr>
      <w:tr>
        <w:tc>
          <w:tcPr>
            <w:tcW w:type="dxa" w:w="220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b/>
                <w:bCs/>
                <w:sz w:val="18"/>
                <w:szCs w:val="18"/>
              </w:rPr>
              <w:t xml:space="preserve">Database</w:t>
            </w:r>
          </w:p>
        </w:tc>
        <w:tc>
          <w:tcPr>
            <w:tcW w:type="dxa" w:w="280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b/>
                <w:bCs/>
                <w:sz w:val="18"/>
                <w:szCs w:val="18"/>
              </w:rPr>
              <w:t xml:space="preserve">Neon (Serverless Postgres)</w:t>
            </w:r>
          </w:p>
        </w:tc>
        <w:tc>
          <w:tcPr>
            <w:tcW w:type="dxa" w:w="624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sz w:val="18"/>
                <w:szCs w:val="18"/>
              </w:rPr>
              <w:t xml:space="preserve">JSONB for deal state, checklist items, risk rules, agent memory. Row-level security per deal. Branching for dev/test. Scale-to-zero. pgvector extension for Phase 2+ RAG.</w:t>
            </w:r>
          </w:p>
        </w:tc>
        <w:tc>
          <w:tcPr>
            <w:tcW w:type="dxa" w:w="220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sz w:val="18"/>
                <w:szCs w:val="18"/>
              </w:rPr>
              <w:t xml:space="preserve">Phase 1</w:t>
            </w:r>
          </w:p>
        </w:tc>
      </w:tr>
      <w:tr>
        <w:tc>
          <w:tcPr>
            <w:tcW w:type="dxa" w:w="2200"/>
            <w:tcBorders>
              <w:top w:val="single" w:color="B0C4DE" w:sz="1"/>
              <w:left w:val="single" w:color="B0C4DE" w:sz="1"/>
              <w:bottom w:val="single" w:color="B0C4DE" w:sz="1"/>
              <w:right w:val="single" w:color="B0C4DE" w:sz="1"/>
            </w:tcBorders>
            <w:shd w:fill="F0F6FF" w:val="clear"/>
            <w:tcMar>
              <w:top w:type="dxa" w:w="60"/>
              <w:left w:type="dxa" w:w="100"/>
              <w:bottom w:type="dxa" w:w="60"/>
              <w:right w:type="dxa" w:w="100"/>
            </w:tcMar>
            <w:vAlign w:val="center"/>
          </w:tcPr>
          <w:p>
            <w:r>
              <w:rPr>
                <w:rFonts w:ascii="Arial" w:cs="Arial" w:eastAsia="Arial" w:hAnsi="Arial"/>
                <w:b/>
                <w:bCs/>
                <w:sz w:val="18"/>
                <w:szCs w:val="18"/>
              </w:rPr>
              <w:t xml:space="preserve">AI Reasoning</w:t>
            </w:r>
          </w:p>
        </w:tc>
        <w:tc>
          <w:tcPr>
            <w:tcW w:type="dxa" w:w="2800"/>
            <w:tcBorders>
              <w:top w:val="single" w:color="B0C4DE" w:sz="1"/>
              <w:left w:val="single" w:color="B0C4DE" w:sz="1"/>
              <w:bottom w:val="single" w:color="B0C4DE" w:sz="1"/>
              <w:right w:val="single" w:color="B0C4DE" w:sz="1"/>
            </w:tcBorders>
            <w:shd w:fill="F0F6FF" w:val="clear"/>
            <w:tcMar>
              <w:top w:type="dxa" w:w="60"/>
              <w:left w:type="dxa" w:w="100"/>
              <w:bottom w:type="dxa" w:w="60"/>
              <w:right w:type="dxa" w:w="100"/>
            </w:tcMar>
            <w:vAlign w:val="center"/>
          </w:tcPr>
          <w:p>
            <w:r>
              <w:rPr>
                <w:rFonts w:ascii="Arial" w:cs="Arial" w:eastAsia="Arial" w:hAnsi="Arial"/>
                <w:b/>
                <w:bCs/>
                <w:sz w:val="18"/>
                <w:szCs w:val="18"/>
              </w:rPr>
              <w:t xml:space="preserve">Claude API (Sonnet/Opus)</w:t>
            </w:r>
          </w:p>
        </w:tc>
        <w:tc>
          <w:tcPr>
            <w:tcW w:type="dxa" w:w="6240"/>
            <w:tcBorders>
              <w:top w:val="single" w:color="B0C4DE" w:sz="1"/>
              <w:left w:val="single" w:color="B0C4DE" w:sz="1"/>
              <w:bottom w:val="single" w:color="B0C4DE" w:sz="1"/>
              <w:right w:val="single" w:color="B0C4DE" w:sz="1"/>
            </w:tcBorders>
            <w:shd w:fill="F0F6FF" w:val="clear"/>
            <w:tcMar>
              <w:top w:type="dxa" w:w="60"/>
              <w:left w:type="dxa" w:w="100"/>
              <w:bottom w:type="dxa" w:w="60"/>
              <w:right w:type="dxa" w:w="100"/>
            </w:tcMar>
            <w:vAlign w:val="center"/>
          </w:tcPr>
          <w:p>
            <w:r>
              <w:rPr>
                <w:rFonts w:ascii="Arial" w:cs="Arial" w:eastAsia="Arial" w:hAnsi="Arial"/>
                <w:sz w:val="18"/>
                <w:szCs w:val="18"/>
              </w:rPr>
              <w:t xml:space="preserve">Intake processing, risk assessment, guidance generation, document drafting. Structured outputs via JSON mode. System prompts encode Training Model Framework.</w:t>
            </w:r>
          </w:p>
        </w:tc>
        <w:tc>
          <w:tcPr>
            <w:tcW w:type="dxa" w:w="2200"/>
            <w:tcBorders>
              <w:top w:val="single" w:color="B0C4DE" w:sz="1"/>
              <w:left w:val="single" w:color="B0C4DE" w:sz="1"/>
              <w:bottom w:val="single" w:color="B0C4DE" w:sz="1"/>
              <w:right w:val="single" w:color="B0C4DE" w:sz="1"/>
            </w:tcBorders>
            <w:shd w:fill="F0F6FF" w:val="clear"/>
            <w:tcMar>
              <w:top w:type="dxa" w:w="60"/>
              <w:left w:type="dxa" w:w="100"/>
              <w:bottom w:type="dxa" w:w="60"/>
              <w:right w:type="dxa" w:w="100"/>
            </w:tcMar>
            <w:vAlign w:val="center"/>
          </w:tcPr>
          <w:p>
            <w:r>
              <w:rPr>
                <w:rFonts w:ascii="Arial" w:cs="Arial" w:eastAsia="Arial" w:hAnsi="Arial"/>
                <w:sz w:val="18"/>
                <w:szCs w:val="18"/>
              </w:rPr>
              <w:t xml:space="preserve">Phase 1</w:t>
            </w:r>
          </w:p>
        </w:tc>
      </w:tr>
      <w:tr>
        <w:tc>
          <w:tcPr>
            <w:tcW w:type="dxa" w:w="220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b/>
                <w:bCs/>
                <w:sz w:val="18"/>
                <w:szCs w:val="18"/>
              </w:rPr>
              <w:t xml:space="preserve">Frontend</w:t>
            </w:r>
          </w:p>
        </w:tc>
        <w:tc>
          <w:tcPr>
            <w:tcW w:type="dxa" w:w="280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b/>
                <w:bCs/>
                <w:sz w:val="18"/>
                <w:szCs w:val="18"/>
              </w:rPr>
              <w:t xml:space="preserve">React + Tailwind CSS</w:t>
            </w:r>
          </w:p>
        </w:tc>
        <w:tc>
          <w:tcPr>
            <w:tcW w:type="dxa" w:w="624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sz w:val="18"/>
                <w:szCs w:val="18"/>
              </w:rPr>
              <w:t xml:space="preserve">PMO dashboard, intake forms, checklist views, risk heat maps. Real-time updates via polling. Responsive for desktop/tablet.</w:t>
            </w:r>
          </w:p>
        </w:tc>
        <w:tc>
          <w:tcPr>
            <w:tcW w:type="dxa" w:w="220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sz w:val="18"/>
                <w:szCs w:val="18"/>
              </w:rPr>
              <w:t xml:space="preserve">Phase 1</w:t>
            </w:r>
          </w:p>
        </w:tc>
      </w:tr>
      <w:tr>
        <w:tc>
          <w:tcPr>
            <w:tcW w:type="dxa" w:w="2200"/>
            <w:tcBorders>
              <w:top w:val="single" w:color="B0C4DE" w:sz="1"/>
              <w:left w:val="single" w:color="B0C4DE" w:sz="1"/>
              <w:bottom w:val="single" w:color="B0C4DE" w:sz="1"/>
              <w:right w:val="single" w:color="B0C4DE" w:sz="1"/>
            </w:tcBorders>
            <w:shd w:fill="F0F6FF" w:val="clear"/>
            <w:tcMar>
              <w:top w:type="dxa" w:w="60"/>
              <w:left w:type="dxa" w:w="100"/>
              <w:bottom w:type="dxa" w:w="60"/>
              <w:right w:type="dxa" w:w="100"/>
            </w:tcMar>
            <w:vAlign w:val="center"/>
          </w:tcPr>
          <w:p>
            <w:r>
              <w:rPr>
                <w:rFonts w:ascii="Arial" w:cs="Arial" w:eastAsia="Arial" w:hAnsi="Arial"/>
                <w:b/>
                <w:bCs/>
                <w:sz w:val="18"/>
                <w:szCs w:val="18"/>
              </w:rPr>
              <w:t xml:space="preserve">Document Engine</w:t>
            </w:r>
          </w:p>
        </w:tc>
        <w:tc>
          <w:tcPr>
            <w:tcW w:type="dxa" w:w="2800"/>
            <w:tcBorders>
              <w:top w:val="single" w:color="B0C4DE" w:sz="1"/>
              <w:left w:val="single" w:color="B0C4DE" w:sz="1"/>
              <w:bottom w:val="single" w:color="B0C4DE" w:sz="1"/>
              <w:right w:val="single" w:color="B0C4DE" w:sz="1"/>
            </w:tcBorders>
            <w:shd w:fill="F0F6FF" w:val="clear"/>
            <w:tcMar>
              <w:top w:type="dxa" w:w="60"/>
              <w:left w:type="dxa" w:w="100"/>
              <w:bottom w:type="dxa" w:w="60"/>
              <w:right w:type="dxa" w:w="100"/>
            </w:tcMar>
            <w:vAlign w:val="center"/>
          </w:tcPr>
          <w:p>
            <w:r>
              <w:rPr>
                <w:rFonts w:ascii="Arial" w:cs="Arial" w:eastAsia="Arial" w:hAnsi="Arial"/>
                <w:b/>
                <w:bCs/>
                <w:sz w:val="18"/>
                <w:szCs w:val="18"/>
              </w:rPr>
              <w:t xml:space="preserve">docx-js / pptx-js</w:t>
            </w:r>
          </w:p>
        </w:tc>
        <w:tc>
          <w:tcPr>
            <w:tcW w:type="dxa" w:w="6240"/>
            <w:tcBorders>
              <w:top w:val="single" w:color="B0C4DE" w:sz="1"/>
              <w:left w:val="single" w:color="B0C4DE" w:sz="1"/>
              <w:bottom w:val="single" w:color="B0C4DE" w:sz="1"/>
              <w:right w:val="single" w:color="B0C4DE" w:sz="1"/>
            </w:tcBorders>
            <w:shd w:fill="F0F6FF" w:val="clear"/>
            <w:tcMar>
              <w:top w:type="dxa" w:w="60"/>
              <w:left w:type="dxa" w:w="100"/>
              <w:bottom w:type="dxa" w:w="60"/>
              <w:right w:type="dxa" w:w="100"/>
            </w:tcMar>
            <w:vAlign w:val="center"/>
          </w:tcPr>
          <w:p>
            <w:r>
              <w:rPr>
                <w:rFonts w:ascii="Arial" w:cs="Arial" w:eastAsia="Arial" w:hAnsi="Arial"/>
                <w:sz w:val="18"/>
                <w:szCs w:val="18"/>
              </w:rPr>
              <w:t xml:space="preserve">Auto-generate SteerCo reports, TSA schedules, risk summaries as downloadable Word/PowerPoint files.</w:t>
            </w:r>
          </w:p>
        </w:tc>
        <w:tc>
          <w:tcPr>
            <w:tcW w:type="dxa" w:w="2200"/>
            <w:tcBorders>
              <w:top w:val="single" w:color="B0C4DE" w:sz="1"/>
              <w:left w:val="single" w:color="B0C4DE" w:sz="1"/>
              <w:bottom w:val="single" w:color="B0C4DE" w:sz="1"/>
              <w:right w:val="single" w:color="B0C4DE" w:sz="1"/>
            </w:tcBorders>
            <w:shd w:fill="F0F6FF" w:val="clear"/>
            <w:tcMar>
              <w:top w:type="dxa" w:w="60"/>
              <w:left w:type="dxa" w:w="100"/>
              <w:bottom w:type="dxa" w:w="60"/>
              <w:right w:type="dxa" w:w="100"/>
            </w:tcMar>
            <w:vAlign w:val="center"/>
          </w:tcPr>
          <w:p>
            <w:r>
              <w:rPr>
                <w:rFonts w:ascii="Arial" w:cs="Arial" w:eastAsia="Arial" w:hAnsi="Arial"/>
                <w:sz w:val="18"/>
                <w:szCs w:val="18"/>
              </w:rPr>
              <w:t xml:space="preserve">Phase 1</w:t>
            </w:r>
          </w:p>
        </w:tc>
      </w:tr>
      <w:tr>
        <w:tc>
          <w:tcPr>
            <w:tcW w:type="dxa" w:w="220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b/>
                <w:bCs/>
                <w:sz w:val="18"/>
                <w:szCs w:val="18"/>
              </w:rPr>
              <w:t xml:space="preserve">Hosting</w:t>
            </w:r>
          </w:p>
        </w:tc>
        <w:tc>
          <w:tcPr>
            <w:tcW w:type="dxa" w:w="280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b/>
                <w:bCs/>
                <w:sz w:val="18"/>
                <w:szCs w:val="18"/>
              </w:rPr>
              <w:t xml:space="preserve">Vercel + Neon Serverless</w:t>
            </w:r>
          </w:p>
        </w:tc>
        <w:tc>
          <w:tcPr>
            <w:tcW w:type="dxa" w:w="624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sz w:val="18"/>
                <w:szCs w:val="18"/>
              </w:rPr>
              <w:t xml:space="preserve">Zero-config deployment. Serverless functions for API routes. Edge functions for low-latency dashboard. Scale-to-zero for cost efficiency.</w:t>
            </w:r>
          </w:p>
        </w:tc>
        <w:tc>
          <w:tcPr>
            <w:tcW w:type="dxa" w:w="220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sz w:val="18"/>
                <w:szCs w:val="18"/>
              </w:rPr>
              <w:t xml:space="preserve">Phase 1</w:t>
            </w:r>
          </w:p>
        </w:tc>
      </w:tr>
      <w:tr>
        <w:tc>
          <w:tcPr>
            <w:tcW w:type="dxa" w:w="2200"/>
            <w:tcBorders>
              <w:top w:val="single" w:color="B0C4DE" w:sz="1"/>
              <w:left w:val="single" w:color="B0C4DE" w:sz="1"/>
              <w:bottom w:val="single" w:color="B0C4DE" w:sz="1"/>
              <w:right w:val="single" w:color="B0C4DE" w:sz="1"/>
            </w:tcBorders>
            <w:shd w:fill="F0F6FF" w:val="clear"/>
            <w:tcMar>
              <w:top w:type="dxa" w:w="60"/>
              <w:left w:type="dxa" w:w="100"/>
              <w:bottom w:type="dxa" w:w="60"/>
              <w:right w:type="dxa" w:w="100"/>
            </w:tcMar>
            <w:vAlign w:val="center"/>
          </w:tcPr>
          <w:p>
            <w:r>
              <w:rPr>
                <w:rFonts w:ascii="Arial" w:cs="Arial" w:eastAsia="Arial" w:hAnsi="Arial"/>
                <w:b/>
                <w:bCs/>
                <w:sz w:val="18"/>
                <w:szCs w:val="18"/>
              </w:rPr>
              <w:t xml:space="preserve">Agent Orchestration</w:t>
            </w:r>
          </w:p>
        </w:tc>
        <w:tc>
          <w:tcPr>
            <w:tcW w:type="dxa" w:w="2800"/>
            <w:tcBorders>
              <w:top w:val="single" w:color="B0C4DE" w:sz="1"/>
              <w:left w:val="single" w:color="B0C4DE" w:sz="1"/>
              <w:bottom w:val="single" w:color="B0C4DE" w:sz="1"/>
              <w:right w:val="single" w:color="B0C4DE" w:sz="1"/>
            </w:tcBorders>
            <w:shd w:fill="F0F6FF" w:val="clear"/>
            <w:tcMar>
              <w:top w:type="dxa" w:w="60"/>
              <w:left w:type="dxa" w:w="100"/>
              <w:bottom w:type="dxa" w:w="60"/>
              <w:right w:type="dxa" w:w="100"/>
            </w:tcMar>
            <w:vAlign w:val="center"/>
          </w:tcPr>
          <w:p>
            <w:r>
              <w:rPr>
                <w:rFonts w:ascii="Arial" w:cs="Arial" w:eastAsia="Arial" w:hAnsi="Arial"/>
                <w:b/>
                <w:bCs/>
                <w:sz w:val="18"/>
                <w:szCs w:val="18"/>
              </w:rPr>
              <w:t xml:space="preserve">LangGraph (Python)</w:t>
            </w:r>
          </w:p>
        </w:tc>
        <w:tc>
          <w:tcPr>
            <w:tcW w:type="dxa" w:w="6240"/>
            <w:tcBorders>
              <w:top w:val="single" w:color="B0C4DE" w:sz="1"/>
              <w:left w:val="single" w:color="B0C4DE" w:sz="1"/>
              <w:bottom w:val="single" w:color="B0C4DE" w:sz="1"/>
              <w:right w:val="single" w:color="B0C4DE" w:sz="1"/>
            </w:tcBorders>
            <w:shd w:fill="F0F6FF" w:val="clear"/>
            <w:tcMar>
              <w:top w:type="dxa" w:w="60"/>
              <w:left w:type="dxa" w:w="100"/>
              <w:bottom w:type="dxa" w:w="60"/>
              <w:right w:type="dxa" w:w="100"/>
            </w:tcMar>
            <w:vAlign w:val="center"/>
          </w:tcPr>
          <w:p>
            <w:r>
              <w:rPr>
                <w:rFonts w:ascii="Arial" w:cs="Arial" w:eastAsia="Arial" w:hAnsi="Arial"/>
                <w:sz w:val="18"/>
                <w:szCs w:val="18"/>
              </w:rPr>
              <w:t xml:space="preserve">Multi-agent coordination. State graph for agent workflows. Checkpointing for long-running tasks. Conditional routing.</w:t>
            </w:r>
          </w:p>
        </w:tc>
        <w:tc>
          <w:tcPr>
            <w:tcW w:type="dxa" w:w="2200"/>
            <w:tcBorders>
              <w:top w:val="single" w:color="B0C4DE" w:sz="1"/>
              <w:left w:val="single" w:color="B0C4DE" w:sz="1"/>
              <w:bottom w:val="single" w:color="B0C4DE" w:sz="1"/>
              <w:right w:val="single" w:color="B0C4DE" w:sz="1"/>
            </w:tcBorders>
            <w:shd w:fill="F0F6FF" w:val="clear"/>
            <w:tcMar>
              <w:top w:type="dxa" w:w="60"/>
              <w:left w:type="dxa" w:w="100"/>
              <w:bottom w:type="dxa" w:w="60"/>
              <w:right w:type="dxa" w:w="100"/>
            </w:tcMar>
            <w:vAlign w:val="center"/>
          </w:tcPr>
          <w:p>
            <w:r>
              <w:rPr>
                <w:rFonts w:ascii="Arial" w:cs="Arial" w:eastAsia="Arial" w:hAnsi="Arial"/>
                <w:sz w:val="18"/>
                <w:szCs w:val="18"/>
              </w:rPr>
              <w:t xml:space="preserve">Phase 2</w:t>
            </w:r>
          </w:p>
        </w:tc>
      </w:tr>
      <w:tr>
        <w:tc>
          <w:tcPr>
            <w:tcW w:type="dxa" w:w="220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b/>
                <w:bCs/>
                <w:sz w:val="18"/>
                <w:szCs w:val="18"/>
              </w:rPr>
              <w:t xml:space="preserve">Tool Integration</w:t>
            </w:r>
          </w:p>
        </w:tc>
        <w:tc>
          <w:tcPr>
            <w:tcW w:type="dxa" w:w="280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b/>
                <w:bCs/>
                <w:sz w:val="18"/>
                <w:szCs w:val="18"/>
              </w:rPr>
              <w:t xml:space="preserve">MCP (Model Context Protocol)</w:t>
            </w:r>
          </w:p>
        </w:tc>
        <w:tc>
          <w:tcPr>
            <w:tcW w:type="dxa" w:w="624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sz w:val="18"/>
                <w:szCs w:val="18"/>
              </w:rPr>
              <w:t xml:space="preserve">Standardized interface for agents to access tools: database queries, document generation, web search, calendar APIs.</w:t>
            </w:r>
          </w:p>
        </w:tc>
        <w:tc>
          <w:tcPr>
            <w:tcW w:type="dxa" w:w="220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sz w:val="18"/>
                <w:szCs w:val="18"/>
              </w:rPr>
              <w:t xml:space="preserve">Phase 2</w:t>
            </w:r>
          </w:p>
        </w:tc>
      </w:tr>
      <w:tr>
        <w:tc>
          <w:tcPr>
            <w:tcW w:type="dxa" w:w="2200"/>
            <w:tcBorders>
              <w:top w:val="single" w:color="B0C4DE" w:sz="1"/>
              <w:left w:val="single" w:color="B0C4DE" w:sz="1"/>
              <w:bottom w:val="single" w:color="B0C4DE" w:sz="1"/>
              <w:right w:val="single" w:color="B0C4DE" w:sz="1"/>
            </w:tcBorders>
            <w:shd w:fill="F0F6FF" w:val="clear"/>
            <w:tcMar>
              <w:top w:type="dxa" w:w="60"/>
              <w:left w:type="dxa" w:w="100"/>
              <w:bottom w:type="dxa" w:w="60"/>
              <w:right w:type="dxa" w:w="100"/>
            </w:tcMar>
            <w:vAlign w:val="center"/>
          </w:tcPr>
          <w:p>
            <w:r>
              <w:rPr>
                <w:rFonts w:ascii="Arial" w:cs="Arial" w:eastAsia="Arial" w:hAnsi="Arial"/>
                <w:b/>
                <w:bCs/>
                <w:sz w:val="18"/>
                <w:szCs w:val="18"/>
              </w:rPr>
              <w:t xml:space="preserve">Vector Search</w:t>
            </w:r>
          </w:p>
        </w:tc>
        <w:tc>
          <w:tcPr>
            <w:tcW w:type="dxa" w:w="2800"/>
            <w:tcBorders>
              <w:top w:val="single" w:color="B0C4DE" w:sz="1"/>
              <w:left w:val="single" w:color="B0C4DE" w:sz="1"/>
              <w:bottom w:val="single" w:color="B0C4DE" w:sz="1"/>
              <w:right w:val="single" w:color="B0C4DE" w:sz="1"/>
            </w:tcBorders>
            <w:shd w:fill="F0F6FF" w:val="clear"/>
            <w:tcMar>
              <w:top w:type="dxa" w:w="60"/>
              <w:left w:type="dxa" w:w="100"/>
              <w:bottom w:type="dxa" w:w="60"/>
              <w:right w:type="dxa" w:w="100"/>
            </w:tcMar>
            <w:vAlign w:val="center"/>
          </w:tcPr>
          <w:p>
            <w:r>
              <w:rPr>
                <w:rFonts w:ascii="Arial" w:cs="Arial" w:eastAsia="Arial" w:hAnsi="Arial"/>
                <w:b/>
                <w:bCs/>
                <w:sz w:val="18"/>
                <w:szCs w:val="18"/>
              </w:rPr>
              <w:t xml:space="preserve">pgvector (Neon extension)</w:t>
            </w:r>
          </w:p>
        </w:tc>
        <w:tc>
          <w:tcPr>
            <w:tcW w:type="dxa" w:w="6240"/>
            <w:tcBorders>
              <w:top w:val="single" w:color="B0C4DE" w:sz="1"/>
              <w:left w:val="single" w:color="B0C4DE" w:sz="1"/>
              <w:bottom w:val="single" w:color="B0C4DE" w:sz="1"/>
              <w:right w:val="single" w:color="B0C4DE" w:sz="1"/>
            </w:tcBorders>
            <w:shd w:fill="F0F6FF" w:val="clear"/>
            <w:tcMar>
              <w:top w:type="dxa" w:w="60"/>
              <w:left w:type="dxa" w:w="100"/>
              <w:bottom w:type="dxa" w:w="60"/>
              <w:right w:type="dxa" w:w="100"/>
            </w:tcMar>
            <w:vAlign w:val="center"/>
          </w:tcPr>
          <w:p>
            <w:r>
              <w:rPr>
                <w:rFonts w:ascii="Arial" w:cs="Arial" w:eastAsia="Arial" w:hAnsi="Arial"/>
                <w:sz w:val="18"/>
                <w:szCs w:val="18"/>
              </w:rPr>
              <w:t xml:space="preserve">Semantic search across deal documents and regulatory guidance. HNSW indexing. Hybrid retrieval (vector + SQL). Enables RAG.</w:t>
            </w:r>
          </w:p>
        </w:tc>
        <w:tc>
          <w:tcPr>
            <w:tcW w:type="dxa" w:w="2200"/>
            <w:tcBorders>
              <w:top w:val="single" w:color="B0C4DE" w:sz="1"/>
              <w:left w:val="single" w:color="B0C4DE" w:sz="1"/>
              <w:bottom w:val="single" w:color="B0C4DE" w:sz="1"/>
              <w:right w:val="single" w:color="B0C4DE" w:sz="1"/>
            </w:tcBorders>
            <w:shd w:fill="F0F6FF" w:val="clear"/>
            <w:tcMar>
              <w:top w:type="dxa" w:w="60"/>
              <w:left w:type="dxa" w:w="100"/>
              <w:bottom w:type="dxa" w:w="60"/>
              <w:right w:type="dxa" w:w="100"/>
            </w:tcMar>
            <w:vAlign w:val="center"/>
          </w:tcPr>
          <w:p>
            <w:r>
              <w:rPr>
                <w:rFonts w:ascii="Arial" w:cs="Arial" w:eastAsia="Arial" w:hAnsi="Arial"/>
                <w:sz w:val="18"/>
                <w:szCs w:val="18"/>
              </w:rPr>
              <w:t xml:space="preserve">Phase 2–3</w:t>
            </w:r>
          </w:p>
        </w:tc>
      </w:tr>
      <w:tr>
        <w:tc>
          <w:tcPr>
            <w:tcW w:type="dxa" w:w="220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b/>
                <w:bCs/>
                <w:sz w:val="18"/>
                <w:szCs w:val="18"/>
              </w:rPr>
              <w:t xml:space="preserve">Training Container</w:t>
            </w:r>
          </w:p>
        </w:tc>
        <w:tc>
          <w:tcPr>
            <w:tcW w:type="dxa" w:w="280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b/>
                <w:bCs/>
                <w:sz w:val="18"/>
                <w:szCs w:val="18"/>
              </w:rPr>
              <w:t xml:space="preserve">Docker / Cloud Run</w:t>
            </w:r>
          </w:p>
        </w:tc>
        <w:tc>
          <w:tcPr>
            <w:tcW w:type="dxa" w:w="624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sz w:val="18"/>
                <w:szCs w:val="18"/>
              </w:rPr>
              <w:t xml:space="preserve">Isolated environment for Prompt Studio, Evaluation Harness, Knowledge Ingestion Pipeline, Scenario Simulator.</w:t>
            </w:r>
          </w:p>
        </w:tc>
        <w:tc>
          <w:tcPr>
            <w:tcW w:type="dxa" w:w="220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sz w:val="18"/>
                <w:szCs w:val="18"/>
              </w:rPr>
              <w:t xml:space="preserve">Phase 1</w:t>
            </w:r>
          </w:p>
        </w:tc>
      </w:tr>
    </w:tbl>
    <w:p>
      <w:r>
        <w:br w:type="page"/>
      </w:r>
    </w:p>
    <w:p>
      <w:pPr>
        <w:pStyle w:val="Heading1"/>
      </w:pPr>
      <w:r>
        <w:rPr>
          <w:rFonts w:ascii="Arial" w:cs="Arial" w:eastAsia="Arial" w:hAnsi="Arial"/>
        </w:rPr>
        <w:t xml:space="preserve">7. Non-Functional Requirements</w:t>
      </w:r>
    </w:p>
    <w:tbl>
      <w:tblPr>
        <w:tblW w:type="dxa" w:w="1344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10040"/>
      </w:tblGrid>
      <w:tr>
        <w:tc>
          <w:tcPr>
            <w:tcW w:type="dxa" w:w="1200"/>
            <w:tcBorders>
              <w:top w:val="single" w:color="B0C4DE" w:sz="1"/>
              <w:left w:val="single" w:color="B0C4DE" w:sz="1"/>
              <w:bottom w:val="single" w:color="B0C4DE" w:sz="1"/>
              <w:right w:val="single" w:color="B0C4DE" w:sz="1"/>
            </w:tcBorders>
            <w:shd w:fill="1E3A5F" w:val="clear"/>
            <w:tcMar>
              <w:top w:type="dxa" w:w="60"/>
              <w:left w:type="dxa" w:w="100"/>
              <w:bottom w:type="dxa" w:w="60"/>
              <w:right w:type="dxa" w:w="100"/>
            </w:tcMar>
            <w:vAlign w:val="center"/>
          </w:tcPr>
          <w:p>
            <w:r>
              <w:rPr>
                <w:rFonts w:ascii="Arial" w:cs="Arial" w:eastAsia="Arial" w:hAnsi="Arial"/>
                <w:b/>
                <w:bCs/>
                <w:color w:val="FFFFFF"/>
                <w:sz w:val="18"/>
                <w:szCs w:val="18"/>
              </w:rPr>
              <w:t xml:space="preserve">ID</w:t>
            </w:r>
          </w:p>
        </w:tc>
        <w:tc>
          <w:tcPr>
            <w:tcW w:type="dxa" w:w="2200"/>
            <w:tcBorders>
              <w:top w:val="single" w:color="B0C4DE" w:sz="1"/>
              <w:left w:val="single" w:color="B0C4DE" w:sz="1"/>
              <w:bottom w:val="single" w:color="B0C4DE" w:sz="1"/>
              <w:right w:val="single" w:color="B0C4DE" w:sz="1"/>
            </w:tcBorders>
            <w:shd w:fill="1E3A5F" w:val="clear"/>
            <w:tcMar>
              <w:top w:type="dxa" w:w="60"/>
              <w:left w:type="dxa" w:w="100"/>
              <w:bottom w:type="dxa" w:w="60"/>
              <w:right w:type="dxa" w:w="100"/>
            </w:tcMar>
            <w:vAlign w:val="center"/>
          </w:tcPr>
          <w:p>
            <w:r>
              <w:rPr>
                <w:rFonts w:ascii="Arial" w:cs="Arial" w:eastAsia="Arial" w:hAnsi="Arial"/>
                <w:b/>
                <w:bCs/>
                <w:color w:val="FFFFFF"/>
                <w:sz w:val="18"/>
                <w:szCs w:val="18"/>
              </w:rPr>
              <w:t xml:space="preserve">Category</w:t>
            </w:r>
          </w:p>
        </w:tc>
        <w:tc>
          <w:tcPr>
            <w:tcW w:type="dxa" w:w="10040"/>
            <w:tcBorders>
              <w:top w:val="single" w:color="B0C4DE" w:sz="1"/>
              <w:left w:val="single" w:color="B0C4DE" w:sz="1"/>
              <w:bottom w:val="single" w:color="B0C4DE" w:sz="1"/>
              <w:right w:val="single" w:color="B0C4DE" w:sz="1"/>
            </w:tcBorders>
            <w:shd w:fill="1E3A5F" w:val="clear"/>
            <w:tcMar>
              <w:top w:type="dxa" w:w="60"/>
              <w:left w:type="dxa" w:w="100"/>
              <w:bottom w:type="dxa" w:w="60"/>
              <w:right w:type="dxa" w:w="100"/>
            </w:tcMar>
            <w:vAlign w:val="center"/>
          </w:tcPr>
          <w:p>
            <w:r>
              <w:rPr>
                <w:rFonts w:ascii="Arial" w:cs="Arial" w:eastAsia="Arial" w:hAnsi="Arial"/>
                <w:b/>
                <w:bCs/>
                <w:color w:val="FFFFFF"/>
                <w:sz w:val="18"/>
                <w:szCs w:val="18"/>
              </w:rPr>
              <w:t xml:space="preserve">Requirement</w:t>
            </w:r>
          </w:p>
        </w:tc>
      </w:tr>
      <w:tr>
        <w:tc>
          <w:tcPr>
            <w:tcW w:type="dxa" w:w="120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b/>
                <w:bCs/>
                <w:sz w:val="18"/>
                <w:szCs w:val="18"/>
              </w:rPr>
              <w:t xml:space="preserve">NFR-1</w:t>
            </w:r>
          </w:p>
        </w:tc>
        <w:tc>
          <w:tcPr>
            <w:tcW w:type="dxa" w:w="220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b/>
                <w:bCs/>
                <w:sz w:val="18"/>
                <w:szCs w:val="18"/>
              </w:rPr>
              <w:t xml:space="preserve">Performance</w:t>
            </w:r>
          </w:p>
        </w:tc>
        <w:tc>
          <w:tcPr>
            <w:tcW w:type="dxa" w:w="1004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sz w:val="18"/>
                <w:szCs w:val="18"/>
              </w:rPr>
              <w:t xml:space="preserve">Workflow generation &lt; 30 seconds. Dashboard load &lt; 2 seconds. Risk scan &lt; 5 seconds per deal.</w:t>
            </w:r>
          </w:p>
        </w:tc>
      </w:tr>
      <w:tr>
        <w:tc>
          <w:tcPr>
            <w:tcW w:type="dxa" w:w="1200"/>
            <w:tcBorders>
              <w:top w:val="single" w:color="B0C4DE" w:sz="1"/>
              <w:left w:val="single" w:color="B0C4DE" w:sz="1"/>
              <w:bottom w:val="single" w:color="B0C4DE" w:sz="1"/>
              <w:right w:val="single" w:color="B0C4DE" w:sz="1"/>
            </w:tcBorders>
            <w:shd w:fill="F0F6FF" w:val="clear"/>
            <w:tcMar>
              <w:top w:type="dxa" w:w="60"/>
              <w:left w:type="dxa" w:w="100"/>
              <w:bottom w:type="dxa" w:w="60"/>
              <w:right w:type="dxa" w:w="100"/>
            </w:tcMar>
            <w:vAlign w:val="center"/>
          </w:tcPr>
          <w:p>
            <w:r>
              <w:rPr>
                <w:rFonts w:ascii="Arial" w:cs="Arial" w:eastAsia="Arial" w:hAnsi="Arial"/>
                <w:b/>
                <w:bCs/>
                <w:sz w:val="18"/>
                <w:szCs w:val="18"/>
              </w:rPr>
              <w:t xml:space="preserve">NFR-2</w:t>
            </w:r>
          </w:p>
        </w:tc>
        <w:tc>
          <w:tcPr>
            <w:tcW w:type="dxa" w:w="2200"/>
            <w:tcBorders>
              <w:top w:val="single" w:color="B0C4DE" w:sz="1"/>
              <w:left w:val="single" w:color="B0C4DE" w:sz="1"/>
              <w:bottom w:val="single" w:color="B0C4DE" w:sz="1"/>
              <w:right w:val="single" w:color="B0C4DE" w:sz="1"/>
            </w:tcBorders>
            <w:shd w:fill="F0F6FF" w:val="clear"/>
            <w:tcMar>
              <w:top w:type="dxa" w:w="60"/>
              <w:left w:type="dxa" w:w="100"/>
              <w:bottom w:type="dxa" w:w="60"/>
              <w:right w:type="dxa" w:w="100"/>
            </w:tcMar>
            <w:vAlign w:val="center"/>
          </w:tcPr>
          <w:p>
            <w:r>
              <w:rPr>
                <w:rFonts w:ascii="Arial" w:cs="Arial" w:eastAsia="Arial" w:hAnsi="Arial"/>
                <w:b/>
                <w:bCs/>
                <w:sz w:val="18"/>
                <w:szCs w:val="18"/>
              </w:rPr>
              <w:t xml:space="preserve">Security</w:t>
            </w:r>
          </w:p>
        </w:tc>
        <w:tc>
          <w:tcPr>
            <w:tcW w:type="dxa" w:w="10040"/>
            <w:tcBorders>
              <w:top w:val="single" w:color="B0C4DE" w:sz="1"/>
              <w:left w:val="single" w:color="B0C4DE" w:sz="1"/>
              <w:bottom w:val="single" w:color="B0C4DE" w:sz="1"/>
              <w:right w:val="single" w:color="B0C4DE" w:sz="1"/>
            </w:tcBorders>
            <w:shd w:fill="F0F6FF" w:val="clear"/>
            <w:tcMar>
              <w:top w:type="dxa" w:w="60"/>
              <w:left w:type="dxa" w:w="100"/>
              <w:bottom w:type="dxa" w:w="60"/>
              <w:right w:type="dxa" w:w="100"/>
            </w:tcMar>
            <w:vAlign w:val="center"/>
          </w:tcPr>
          <w:p>
            <w:r>
              <w:rPr>
                <w:rFonts w:ascii="Arial" w:cs="Arial" w:eastAsia="Arial" w:hAnsi="Arial"/>
                <w:sz w:val="18"/>
                <w:szCs w:val="18"/>
              </w:rPr>
              <w:t xml:space="preserve">Row-level security per deal in Neon. Authentication via Clerk or Auth0. Encrypted at rest and in transit. No PII in AI prompts beyond deal team names.</w:t>
            </w:r>
          </w:p>
        </w:tc>
      </w:tr>
      <w:tr>
        <w:tc>
          <w:tcPr>
            <w:tcW w:type="dxa" w:w="120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b/>
                <w:bCs/>
                <w:sz w:val="18"/>
                <w:szCs w:val="18"/>
              </w:rPr>
              <w:t xml:space="preserve">NFR-3</w:t>
            </w:r>
          </w:p>
        </w:tc>
        <w:tc>
          <w:tcPr>
            <w:tcW w:type="dxa" w:w="220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b/>
                <w:bCs/>
                <w:sz w:val="18"/>
                <w:szCs w:val="18"/>
              </w:rPr>
              <w:t xml:space="preserve">Scalability</w:t>
            </w:r>
          </w:p>
        </w:tc>
        <w:tc>
          <w:tcPr>
            <w:tcW w:type="dxa" w:w="1004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sz w:val="18"/>
                <w:szCs w:val="18"/>
              </w:rPr>
              <w:t xml:space="preserve">Support 50 concurrent deals in Phase 1. Neon scale-to-zero for inactive deals. Stateless API functions.</w:t>
            </w:r>
          </w:p>
        </w:tc>
      </w:tr>
      <w:tr>
        <w:tc>
          <w:tcPr>
            <w:tcW w:type="dxa" w:w="1200"/>
            <w:tcBorders>
              <w:top w:val="single" w:color="B0C4DE" w:sz="1"/>
              <w:left w:val="single" w:color="B0C4DE" w:sz="1"/>
              <w:bottom w:val="single" w:color="B0C4DE" w:sz="1"/>
              <w:right w:val="single" w:color="B0C4DE" w:sz="1"/>
            </w:tcBorders>
            <w:shd w:fill="F0F6FF" w:val="clear"/>
            <w:tcMar>
              <w:top w:type="dxa" w:w="60"/>
              <w:left w:type="dxa" w:w="100"/>
              <w:bottom w:type="dxa" w:w="60"/>
              <w:right w:type="dxa" w:w="100"/>
            </w:tcMar>
            <w:vAlign w:val="center"/>
          </w:tcPr>
          <w:p>
            <w:r>
              <w:rPr>
                <w:rFonts w:ascii="Arial" w:cs="Arial" w:eastAsia="Arial" w:hAnsi="Arial"/>
                <w:b/>
                <w:bCs/>
                <w:sz w:val="18"/>
                <w:szCs w:val="18"/>
              </w:rPr>
              <w:t xml:space="preserve">NFR-4</w:t>
            </w:r>
          </w:p>
        </w:tc>
        <w:tc>
          <w:tcPr>
            <w:tcW w:type="dxa" w:w="2200"/>
            <w:tcBorders>
              <w:top w:val="single" w:color="B0C4DE" w:sz="1"/>
              <w:left w:val="single" w:color="B0C4DE" w:sz="1"/>
              <w:bottom w:val="single" w:color="B0C4DE" w:sz="1"/>
              <w:right w:val="single" w:color="B0C4DE" w:sz="1"/>
            </w:tcBorders>
            <w:shd w:fill="F0F6FF" w:val="clear"/>
            <w:tcMar>
              <w:top w:type="dxa" w:w="60"/>
              <w:left w:type="dxa" w:w="100"/>
              <w:bottom w:type="dxa" w:w="60"/>
              <w:right w:type="dxa" w:w="100"/>
            </w:tcMar>
            <w:vAlign w:val="center"/>
          </w:tcPr>
          <w:p>
            <w:r>
              <w:rPr>
                <w:rFonts w:ascii="Arial" w:cs="Arial" w:eastAsia="Arial" w:hAnsi="Arial"/>
                <w:b/>
                <w:bCs/>
                <w:sz w:val="18"/>
                <w:szCs w:val="18"/>
              </w:rPr>
              <w:t xml:space="preserve">Auditability</w:t>
            </w:r>
          </w:p>
        </w:tc>
        <w:tc>
          <w:tcPr>
            <w:tcW w:type="dxa" w:w="10040"/>
            <w:tcBorders>
              <w:top w:val="single" w:color="B0C4DE" w:sz="1"/>
              <w:left w:val="single" w:color="B0C4DE" w:sz="1"/>
              <w:bottom w:val="single" w:color="B0C4DE" w:sz="1"/>
              <w:right w:val="single" w:color="B0C4DE" w:sz="1"/>
            </w:tcBorders>
            <w:shd w:fill="F0F6FF" w:val="clear"/>
            <w:tcMar>
              <w:top w:type="dxa" w:w="60"/>
              <w:left w:type="dxa" w:w="100"/>
              <w:bottom w:type="dxa" w:w="60"/>
              <w:right w:type="dxa" w:w="100"/>
            </w:tcMar>
            <w:vAlign w:val="center"/>
          </w:tcPr>
          <w:p>
            <w:r>
              <w:rPr>
                <w:rFonts w:ascii="Arial" w:cs="Arial" w:eastAsia="Arial" w:hAnsi="Arial"/>
                <w:sz w:val="18"/>
                <w:szCs w:val="18"/>
              </w:rPr>
              <w:t xml:space="preserve">Complete audit trail of all state changes, AI recommendations, and user actions. Immutable append-only history. Exportable for compliance.</w:t>
            </w:r>
          </w:p>
        </w:tc>
      </w:tr>
      <w:tr>
        <w:tc>
          <w:tcPr>
            <w:tcW w:type="dxa" w:w="120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b/>
                <w:bCs/>
                <w:sz w:val="18"/>
                <w:szCs w:val="18"/>
              </w:rPr>
              <w:t xml:space="preserve">NFR-5</w:t>
            </w:r>
          </w:p>
        </w:tc>
        <w:tc>
          <w:tcPr>
            <w:tcW w:type="dxa" w:w="220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b/>
                <w:bCs/>
                <w:sz w:val="18"/>
                <w:szCs w:val="18"/>
              </w:rPr>
              <w:t xml:space="preserve">Data Isolation</w:t>
            </w:r>
          </w:p>
        </w:tc>
        <w:tc>
          <w:tcPr>
            <w:tcW w:type="dxa" w:w="1004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sz w:val="18"/>
                <w:szCs w:val="18"/>
              </w:rPr>
              <w:t xml:space="preserve">Training container cannot write to production schemas. Production container cannot read training-only tables. Neon branching for dev/staging.</w:t>
            </w:r>
          </w:p>
        </w:tc>
      </w:tr>
      <w:tr>
        <w:tc>
          <w:tcPr>
            <w:tcW w:type="dxa" w:w="1200"/>
            <w:tcBorders>
              <w:top w:val="single" w:color="B0C4DE" w:sz="1"/>
              <w:left w:val="single" w:color="B0C4DE" w:sz="1"/>
              <w:bottom w:val="single" w:color="B0C4DE" w:sz="1"/>
              <w:right w:val="single" w:color="B0C4DE" w:sz="1"/>
            </w:tcBorders>
            <w:shd w:fill="F0F6FF" w:val="clear"/>
            <w:tcMar>
              <w:top w:type="dxa" w:w="60"/>
              <w:left w:type="dxa" w:w="100"/>
              <w:bottom w:type="dxa" w:w="60"/>
              <w:right w:type="dxa" w:w="100"/>
            </w:tcMar>
            <w:vAlign w:val="center"/>
          </w:tcPr>
          <w:p>
            <w:r>
              <w:rPr>
                <w:rFonts w:ascii="Arial" w:cs="Arial" w:eastAsia="Arial" w:hAnsi="Arial"/>
                <w:b/>
                <w:bCs/>
                <w:sz w:val="18"/>
                <w:szCs w:val="18"/>
              </w:rPr>
              <w:t xml:space="preserve">NFR-6</w:t>
            </w:r>
          </w:p>
        </w:tc>
        <w:tc>
          <w:tcPr>
            <w:tcW w:type="dxa" w:w="2200"/>
            <w:tcBorders>
              <w:top w:val="single" w:color="B0C4DE" w:sz="1"/>
              <w:left w:val="single" w:color="B0C4DE" w:sz="1"/>
              <w:bottom w:val="single" w:color="B0C4DE" w:sz="1"/>
              <w:right w:val="single" w:color="B0C4DE" w:sz="1"/>
            </w:tcBorders>
            <w:shd w:fill="F0F6FF" w:val="clear"/>
            <w:tcMar>
              <w:top w:type="dxa" w:w="60"/>
              <w:left w:type="dxa" w:w="100"/>
              <w:bottom w:type="dxa" w:w="60"/>
              <w:right w:type="dxa" w:w="100"/>
            </w:tcMar>
            <w:vAlign w:val="center"/>
          </w:tcPr>
          <w:p>
            <w:r>
              <w:rPr>
                <w:rFonts w:ascii="Arial" w:cs="Arial" w:eastAsia="Arial" w:hAnsi="Arial"/>
                <w:b/>
                <w:bCs/>
                <w:sz w:val="18"/>
                <w:szCs w:val="18"/>
              </w:rPr>
              <w:t xml:space="preserve">Availability</w:t>
            </w:r>
          </w:p>
        </w:tc>
        <w:tc>
          <w:tcPr>
            <w:tcW w:type="dxa" w:w="10040"/>
            <w:tcBorders>
              <w:top w:val="single" w:color="B0C4DE" w:sz="1"/>
              <w:left w:val="single" w:color="B0C4DE" w:sz="1"/>
              <w:bottom w:val="single" w:color="B0C4DE" w:sz="1"/>
              <w:right w:val="single" w:color="B0C4DE" w:sz="1"/>
            </w:tcBorders>
            <w:shd w:fill="F0F6FF" w:val="clear"/>
            <w:tcMar>
              <w:top w:type="dxa" w:w="60"/>
              <w:left w:type="dxa" w:w="100"/>
              <w:bottom w:type="dxa" w:w="60"/>
              <w:right w:type="dxa" w:w="100"/>
            </w:tcMar>
            <w:vAlign w:val="center"/>
          </w:tcPr>
          <w:p>
            <w:r>
              <w:rPr>
                <w:rFonts w:ascii="Arial" w:cs="Arial" w:eastAsia="Arial" w:hAnsi="Arial"/>
                <w:sz w:val="18"/>
                <w:szCs w:val="18"/>
              </w:rPr>
              <w:t xml:space="preserve">99.9% uptime target for production. Training container best-effort. Neon serverless provides automatic failover.</w:t>
            </w:r>
          </w:p>
        </w:tc>
      </w:tr>
      <w:tr>
        <w:tc>
          <w:tcPr>
            <w:tcW w:type="dxa" w:w="120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b/>
                <w:bCs/>
                <w:sz w:val="18"/>
                <w:szCs w:val="18"/>
              </w:rPr>
              <w:t xml:space="preserve">NFR-7</w:t>
            </w:r>
          </w:p>
        </w:tc>
        <w:tc>
          <w:tcPr>
            <w:tcW w:type="dxa" w:w="220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b/>
                <w:bCs/>
                <w:sz w:val="18"/>
                <w:szCs w:val="18"/>
              </w:rPr>
              <w:t xml:space="preserve">Extensibility</w:t>
            </w:r>
          </w:p>
        </w:tc>
        <w:tc>
          <w:tcPr>
            <w:tcW w:type="dxa" w:w="1004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sz w:val="18"/>
                <w:szCs w:val="18"/>
              </w:rPr>
              <w:t xml:space="preserve">Modular architecture allows adding new workstreams, risk categories, and jurisdictions without code changes (JSON configuration).</w:t>
            </w:r>
          </w:p>
        </w:tc>
      </w:tr>
    </w:tbl>
    <w:p>
      <w:r>
        <w:br w:type="page"/>
      </w:r>
    </w:p>
    <w:p>
      <w:pPr>
        <w:pStyle w:val="Heading1"/>
      </w:pPr>
      <w:r>
        <w:rPr>
          <w:rFonts w:ascii="Arial" w:cs="Arial" w:eastAsia="Arial" w:hAnsi="Arial"/>
        </w:rPr>
        <w:t xml:space="preserve">8. Implementation Roadmap</w:t>
      </w:r>
    </w:p>
    <w:tbl>
      <w:tblPr>
        <w:tblW w:type="dxa" w:w="1344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6040"/>
        <w:gridCol w:w="4000"/>
      </w:tblGrid>
      <w:tr>
        <w:tc>
          <w:tcPr>
            <w:tcW w:type="dxa" w:w="1600"/>
            <w:tcBorders>
              <w:top w:val="single" w:color="B0C4DE" w:sz="1"/>
              <w:left w:val="single" w:color="B0C4DE" w:sz="1"/>
              <w:bottom w:val="single" w:color="B0C4DE" w:sz="1"/>
              <w:right w:val="single" w:color="B0C4DE" w:sz="1"/>
            </w:tcBorders>
            <w:shd w:fill="1E3A5F" w:val="clear"/>
            <w:tcMar>
              <w:top w:type="dxa" w:w="60"/>
              <w:left w:type="dxa" w:w="100"/>
              <w:bottom w:type="dxa" w:w="60"/>
              <w:right w:type="dxa" w:w="100"/>
            </w:tcMar>
            <w:vAlign w:val="center"/>
          </w:tcPr>
          <w:p>
            <w:r>
              <w:rPr>
                <w:rFonts w:ascii="Arial" w:cs="Arial" w:eastAsia="Arial" w:hAnsi="Arial"/>
                <w:b/>
                <w:bCs/>
                <w:color w:val="FFFFFF"/>
                <w:sz w:val="18"/>
                <w:szCs w:val="18"/>
              </w:rPr>
              <w:t xml:space="preserve">Timeline</w:t>
            </w:r>
          </w:p>
        </w:tc>
        <w:tc>
          <w:tcPr>
            <w:tcW w:type="dxa" w:w="1800"/>
            <w:tcBorders>
              <w:top w:val="single" w:color="B0C4DE" w:sz="1"/>
              <w:left w:val="single" w:color="B0C4DE" w:sz="1"/>
              <w:bottom w:val="single" w:color="B0C4DE" w:sz="1"/>
              <w:right w:val="single" w:color="B0C4DE" w:sz="1"/>
            </w:tcBorders>
            <w:shd w:fill="1E3A5F" w:val="clear"/>
            <w:tcMar>
              <w:top w:type="dxa" w:w="60"/>
              <w:left w:type="dxa" w:w="100"/>
              <w:bottom w:type="dxa" w:w="60"/>
              <w:right w:type="dxa" w:w="100"/>
            </w:tcMar>
            <w:vAlign w:val="center"/>
          </w:tcPr>
          <w:p>
            <w:r>
              <w:rPr>
                <w:rFonts w:ascii="Arial" w:cs="Arial" w:eastAsia="Arial" w:hAnsi="Arial"/>
                <w:b/>
                <w:bCs/>
                <w:color w:val="FFFFFF"/>
                <w:sz w:val="18"/>
                <w:szCs w:val="18"/>
              </w:rPr>
              <w:t xml:space="preserve">Phase</w:t>
            </w:r>
          </w:p>
        </w:tc>
        <w:tc>
          <w:tcPr>
            <w:tcW w:type="dxa" w:w="6040"/>
            <w:tcBorders>
              <w:top w:val="single" w:color="B0C4DE" w:sz="1"/>
              <w:left w:val="single" w:color="B0C4DE" w:sz="1"/>
              <w:bottom w:val="single" w:color="B0C4DE" w:sz="1"/>
              <w:right w:val="single" w:color="B0C4DE" w:sz="1"/>
            </w:tcBorders>
            <w:shd w:fill="1E3A5F" w:val="clear"/>
            <w:tcMar>
              <w:top w:type="dxa" w:w="60"/>
              <w:left w:type="dxa" w:w="100"/>
              <w:bottom w:type="dxa" w:w="60"/>
              <w:right w:type="dxa" w:w="100"/>
            </w:tcMar>
            <w:vAlign w:val="center"/>
          </w:tcPr>
          <w:p>
            <w:r>
              <w:rPr>
                <w:rFonts w:ascii="Arial" w:cs="Arial" w:eastAsia="Arial" w:hAnsi="Arial"/>
                <w:b/>
                <w:bCs/>
                <w:color w:val="FFFFFF"/>
                <w:sz w:val="18"/>
                <w:szCs w:val="18"/>
              </w:rPr>
              <w:t xml:space="preserve">Activities</w:t>
            </w:r>
          </w:p>
        </w:tc>
        <w:tc>
          <w:tcPr>
            <w:tcW w:type="dxa" w:w="4000"/>
            <w:tcBorders>
              <w:top w:val="single" w:color="B0C4DE" w:sz="1"/>
              <w:left w:val="single" w:color="B0C4DE" w:sz="1"/>
              <w:bottom w:val="single" w:color="B0C4DE" w:sz="1"/>
              <w:right w:val="single" w:color="B0C4DE" w:sz="1"/>
            </w:tcBorders>
            <w:shd w:fill="1E3A5F" w:val="clear"/>
            <w:tcMar>
              <w:top w:type="dxa" w:w="60"/>
              <w:left w:type="dxa" w:w="100"/>
              <w:bottom w:type="dxa" w:w="60"/>
              <w:right w:type="dxa" w:w="100"/>
            </w:tcMar>
            <w:vAlign w:val="center"/>
          </w:tcPr>
          <w:p>
            <w:r>
              <w:rPr>
                <w:rFonts w:ascii="Arial" w:cs="Arial" w:eastAsia="Arial" w:hAnsi="Arial"/>
                <w:b/>
                <w:bCs/>
                <w:color w:val="FFFFFF"/>
                <w:sz w:val="18"/>
                <w:szCs w:val="18"/>
              </w:rPr>
              <w:t xml:space="preserve">Exit Criteria</w:t>
            </w:r>
          </w:p>
        </w:tc>
      </w:tr>
      <w:tr>
        <w:tc>
          <w:tcPr>
            <w:tcW w:type="dxa" w:w="160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b/>
                <w:bCs/>
                <w:sz w:val="18"/>
                <w:szCs w:val="18"/>
              </w:rPr>
              <w:t xml:space="preserve">Weeks 1–2</w:t>
            </w:r>
          </w:p>
        </w:tc>
        <w:tc>
          <w:tcPr>
            <w:tcW w:type="dxa" w:w="180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b/>
                <w:bCs/>
                <w:sz w:val="18"/>
                <w:szCs w:val="18"/>
              </w:rPr>
              <w:t xml:space="preserve">Foundation</w:t>
            </w:r>
          </w:p>
        </w:tc>
        <w:tc>
          <w:tcPr>
            <w:tcW w:type="dxa" w:w="604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sz w:val="18"/>
                <w:szCs w:val="18"/>
              </w:rPr>
              <w:t xml:space="preserve">Validate decision tree logic against 2–3 deal scenarios. Build intake form (Tier 1 + 2). Load 443-item checklist into Neon. Prototype PMO dashboard. Set up Prompt Studio (T-1) and Evaluation Harness (T-3).</w:t>
            </w:r>
          </w:p>
        </w:tc>
        <w:tc>
          <w:tcPr>
            <w:tcW w:type="dxa" w:w="400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sz w:val="18"/>
                <w:szCs w:val="18"/>
              </w:rPr>
              <w:t xml:space="preserve">Intake → Checklist generation working end-to-end. Prompt Studio operational.</w:t>
            </w:r>
          </w:p>
        </w:tc>
      </w:tr>
      <w:tr>
        <w:tc>
          <w:tcPr>
            <w:tcW w:type="dxa" w:w="1600"/>
            <w:tcBorders>
              <w:top w:val="single" w:color="B0C4DE" w:sz="1"/>
              <w:left w:val="single" w:color="B0C4DE" w:sz="1"/>
              <w:bottom w:val="single" w:color="B0C4DE" w:sz="1"/>
              <w:right w:val="single" w:color="B0C4DE" w:sz="1"/>
            </w:tcBorders>
            <w:shd w:fill="F0F6FF" w:val="clear"/>
            <w:tcMar>
              <w:top w:type="dxa" w:w="60"/>
              <w:left w:type="dxa" w:w="100"/>
              <w:bottom w:type="dxa" w:w="60"/>
              <w:right w:type="dxa" w:w="100"/>
            </w:tcMar>
            <w:vAlign w:val="center"/>
          </w:tcPr>
          <w:p>
            <w:r>
              <w:rPr>
                <w:rFonts w:ascii="Arial" w:cs="Arial" w:eastAsia="Arial" w:hAnsi="Arial"/>
                <w:b/>
                <w:bCs/>
                <w:sz w:val="18"/>
                <w:szCs w:val="18"/>
              </w:rPr>
              <w:t xml:space="preserve">Weeks 3–4</w:t>
            </w:r>
          </w:p>
        </w:tc>
        <w:tc>
          <w:tcPr>
            <w:tcW w:type="dxa" w:w="1800"/>
            <w:tcBorders>
              <w:top w:val="single" w:color="B0C4DE" w:sz="1"/>
              <w:left w:val="single" w:color="B0C4DE" w:sz="1"/>
              <w:bottom w:val="single" w:color="B0C4DE" w:sz="1"/>
              <w:right w:val="single" w:color="B0C4DE" w:sz="1"/>
            </w:tcBorders>
            <w:shd w:fill="F0F6FF" w:val="clear"/>
            <w:tcMar>
              <w:top w:type="dxa" w:w="60"/>
              <w:left w:type="dxa" w:w="100"/>
              <w:bottom w:type="dxa" w:w="60"/>
              <w:right w:type="dxa" w:w="100"/>
            </w:tcMar>
            <w:vAlign w:val="center"/>
          </w:tcPr>
          <w:p>
            <w:r>
              <w:rPr>
                <w:rFonts w:ascii="Arial" w:cs="Arial" w:eastAsia="Arial" w:hAnsi="Arial"/>
                <w:b/>
                <w:bCs/>
                <w:sz w:val="18"/>
                <w:szCs w:val="18"/>
              </w:rPr>
              <w:t xml:space="preserve">Core Engine</w:t>
            </w:r>
          </w:p>
        </w:tc>
        <w:tc>
          <w:tcPr>
            <w:tcW w:type="dxa" w:w="6040"/>
            <w:tcBorders>
              <w:top w:val="single" w:color="B0C4DE" w:sz="1"/>
              <w:left w:val="single" w:color="B0C4DE" w:sz="1"/>
              <w:bottom w:val="single" w:color="B0C4DE" w:sz="1"/>
              <w:right w:val="single" w:color="B0C4DE" w:sz="1"/>
            </w:tcBorders>
            <w:shd w:fill="F0F6FF" w:val="clear"/>
            <w:tcMar>
              <w:top w:type="dxa" w:w="60"/>
              <w:left w:type="dxa" w:w="100"/>
              <w:bottom w:type="dxa" w:w="60"/>
              <w:right w:type="dxa" w:w="100"/>
            </w:tcMar>
            <w:vAlign w:val="center"/>
          </w:tcPr>
          <w:p>
            <w:r>
              <w:rPr>
                <w:rFonts w:ascii="Arial" w:cs="Arial" w:eastAsia="Arial" w:hAnsi="Arial"/>
                <w:sz w:val="18"/>
                <w:szCs w:val="18"/>
              </w:rPr>
              <w:t xml:space="preserve">Implement checklist state machine with PostgreSQL triggers. Build risk scanner with all 7 categories. Integrate deadline monitor. Connect AI guidance engine with Claude API.</w:t>
            </w:r>
          </w:p>
        </w:tc>
        <w:tc>
          <w:tcPr>
            <w:tcW w:type="dxa" w:w="4000"/>
            <w:tcBorders>
              <w:top w:val="single" w:color="B0C4DE" w:sz="1"/>
              <w:left w:val="single" w:color="B0C4DE" w:sz="1"/>
              <w:bottom w:val="single" w:color="B0C4DE" w:sz="1"/>
              <w:right w:val="single" w:color="B0C4DE" w:sz="1"/>
            </w:tcBorders>
            <w:shd w:fill="F0F6FF" w:val="clear"/>
            <w:tcMar>
              <w:top w:type="dxa" w:w="60"/>
              <w:left w:type="dxa" w:w="100"/>
              <w:bottom w:type="dxa" w:w="60"/>
              <w:right w:type="dxa" w:w="100"/>
            </w:tcMar>
            <w:vAlign w:val="center"/>
          </w:tcPr>
          <w:p>
            <w:r>
              <w:rPr>
                <w:rFonts w:ascii="Arial" w:cs="Arial" w:eastAsia="Arial" w:hAnsi="Arial"/>
                <w:sz w:val="18"/>
                <w:szCs w:val="18"/>
              </w:rPr>
              <w:t xml:space="preserve">Risk scanner operational. State transitions logging to audit. AI guidance surfacing.</w:t>
            </w:r>
          </w:p>
        </w:tc>
      </w:tr>
      <w:tr>
        <w:tc>
          <w:tcPr>
            <w:tcW w:type="dxa" w:w="160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b/>
                <w:bCs/>
                <w:sz w:val="18"/>
                <w:szCs w:val="18"/>
              </w:rPr>
              <w:t xml:space="preserve">Weeks 5–6</w:t>
            </w:r>
          </w:p>
        </w:tc>
        <w:tc>
          <w:tcPr>
            <w:tcW w:type="dxa" w:w="180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b/>
                <w:bCs/>
                <w:sz w:val="18"/>
                <w:szCs w:val="18"/>
              </w:rPr>
              <w:t xml:space="preserve">Polish &amp; Validate</w:t>
            </w:r>
          </w:p>
        </w:tc>
        <w:tc>
          <w:tcPr>
            <w:tcW w:type="dxa" w:w="604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sz w:val="18"/>
                <w:szCs w:val="18"/>
              </w:rPr>
              <w:t xml:space="preserve">Complete 4-tab dashboard. Document export (Word). Scenario Simulator (T-5) validation. Full end-to-end testing against real deal scenario. Feedback Collector (T-4) overlay.</w:t>
            </w:r>
          </w:p>
        </w:tc>
        <w:tc>
          <w:tcPr>
            <w:tcW w:type="dxa" w:w="400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sz w:val="18"/>
                <w:szCs w:val="18"/>
              </w:rPr>
              <w:t xml:space="preserve">Complete Phase 1 MVP. Validated against real deal. Exportable reports.</w:t>
            </w:r>
          </w:p>
        </w:tc>
      </w:tr>
      <w:tr>
        <w:tc>
          <w:tcPr>
            <w:tcW w:type="dxa" w:w="1600"/>
            <w:tcBorders>
              <w:top w:val="single" w:color="B0C4DE" w:sz="1"/>
              <w:left w:val="single" w:color="B0C4DE" w:sz="1"/>
              <w:bottom w:val="single" w:color="B0C4DE" w:sz="1"/>
              <w:right w:val="single" w:color="B0C4DE" w:sz="1"/>
            </w:tcBorders>
            <w:shd w:fill="F0F6FF" w:val="clear"/>
            <w:tcMar>
              <w:top w:type="dxa" w:w="60"/>
              <w:left w:type="dxa" w:w="100"/>
              <w:bottom w:type="dxa" w:w="60"/>
              <w:right w:type="dxa" w:w="100"/>
            </w:tcMar>
            <w:vAlign w:val="center"/>
          </w:tcPr>
          <w:p>
            <w:r>
              <w:rPr>
                <w:rFonts w:ascii="Arial" w:cs="Arial" w:eastAsia="Arial" w:hAnsi="Arial"/>
                <w:b/>
                <w:bCs/>
                <w:sz w:val="18"/>
                <w:szCs w:val="18"/>
              </w:rPr>
              <w:t xml:space="preserve">Weeks 7–12</w:t>
            </w:r>
          </w:p>
        </w:tc>
        <w:tc>
          <w:tcPr>
            <w:tcW w:type="dxa" w:w="1800"/>
            <w:tcBorders>
              <w:top w:val="single" w:color="B0C4DE" w:sz="1"/>
              <w:left w:val="single" w:color="B0C4DE" w:sz="1"/>
              <w:bottom w:val="single" w:color="B0C4DE" w:sz="1"/>
              <w:right w:val="single" w:color="B0C4DE" w:sz="1"/>
            </w:tcBorders>
            <w:shd w:fill="F0F6FF" w:val="clear"/>
            <w:tcMar>
              <w:top w:type="dxa" w:w="60"/>
              <w:left w:type="dxa" w:w="100"/>
              <w:bottom w:type="dxa" w:w="60"/>
              <w:right w:type="dxa" w:w="100"/>
            </w:tcMar>
            <w:vAlign w:val="center"/>
          </w:tcPr>
          <w:p>
            <w:r>
              <w:rPr>
                <w:rFonts w:ascii="Arial" w:cs="Arial" w:eastAsia="Arial" w:hAnsi="Arial"/>
                <w:b/>
                <w:bCs/>
                <w:sz w:val="18"/>
                <w:szCs w:val="18"/>
              </w:rPr>
              <w:t xml:space="preserve">Phase 2 Prep</w:t>
            </w:r>
          </w:p>
        </w:tc>
        <w:tc>
          <w:tcPr>
            <w:tcW w:type="dxa" w:w="6040"/>
            <w:tcBorders>
              <w:top w:val="single" w:color="B0C4DE" w:sz="1"/>
              <w:left w:val="single" w:color="B0C4DE" w:sz="1"/>
              <w:bottom w:val="single" w:color="B0C4DE" w:sz="1"/>
              <w:right w:val="single" w:color="B0C4DE" w:sz="1"/>
            </w:tcBorders>
            <w:shd w:fill="F0F6FF" w:val="clear"/>
            <w:tcMar>
              <w:top w:type="dxa" w:w="60"/>
              <w:left w:type="dxa" w:w="100"/>
              <w:bottom w:type="dxa" w:w="60"/>
              <w:right w:type="dxa" w:w="100"/>
            </w:tcMar>
            <w:vAlign w:val="center"/>
          </w:tcPr>
          <w:p>
            <w:r>
              <w:rPr>
                <w:rFonts w:ascii="Arial" w:cs="Arial" w:eastAsia="Arial" w:hAnsi="Arial"/>
                <w:sz w:val="18"/>
                <w:szCs w:val="18"/>
              </w:rPr>
              <w:t xml:space="preserve">Knowledge Ingestion Pipeline (T-2) for RAG. Begin pgvector embedding of 70+ sources. Design multi-agent architecture. TSA service tracking. Benchmark Dashboard (T-7).</w:t>
            </w:r>
          </w:p>
        </w:tc>
        <w:tc>
          <w:tcPr>
            <w:tcW w:type="dxa" w:w="4000"/>
            <w:tcBorders>
              <w:top w:val="single" w:color="B0C4DE" w:sz="1"/>
              <w:left w:val="single" w:color="B0C4DE" w:sz="1"/>
              <w:bottom w:val="single" w:color="B0C4DE" w:sz="1"/>
              <w:right w:val="single" w:color="B0C4DE" w:sz="1"/>
            </w:tcBorders>
            <w:shd w:fill="F0F6FF" w:val="clear"/>
            <w:tcMar>
              <w:top w:type="dxa" w:w="60"/>
              <w:left w:type="dxa" w:w="100"/>
              <w:bottom w:type="dxa" w:w="60"/>
              <w:right w:type="dxa" w:w="100"/>
            </w:tcMar>
            <w:vAlign w:val="center"/>
          </w:tcPr>
          <w:p>
            <w:r>
              <w:rPr>
                <w:rFonts w:ascii="Arial" w:cs="Arial" w:eastAsia="Arial" w:hAnsi="Arial"/>
                <w:sz w:val="18"/>
                <w:szCs w:val="18"/>
              </w:rPr>
              <w:t xml:space="preserve">RAG prototype. Agent design validated. TSA module functional.</w:t>
            </w:r>
          </w:p>
        </w:tc>
      </w:tr>
      <w:tr>
        <w:tc>
          <w:tcPr>
            <w:tcW w:type="dxa" w:w="160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b/>
                <w:bCs/>
                <w:sz w:val="18"/>
                <w:szCs w:val="18"/>
              </w:rPr>
              <w:t xml:space="preserve">Weeks 13–24</w:t>
            </w:r>
          </w:p>
        </w:tc>
        <w:tc>
          <w:tcPr>
            <w:tcW w:type="dxa" w:w="180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b/>
                <w:bCs/>
                <w:sz w:val="18"/>
                <w:szCs w:val="18"/>
              </w:rPr>
              <w:t xml:space="preserve">Phase 2 Deploy</w:t>
            </w:r>
          </w:p>
        </w:tc>
        <w:tc>
          <w:tcPr>
            <w:tcW w:type="dxa" w:w="604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sz w:val="18"/>
                <w:szCs w:val="18"/>
              </w:rPr>
              <w:t xml:space="preserve">LangGraph multi-agent orchestration. 5 specialized agents. MCP tool integration. Proactive recommendations. SteerCo report generation.</w:t>
            </w:r>
          </w:p>
        </w:tc>
        <w:tc>
          <w:tcPr>
            <w:tcW w:type="dxa" w:w="400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sz w:val="18"/>
                <w:szCs w:val="18"/>
              </w:rPr>
              <w:t xml:space="preserve">Phase 2 (Proactive Advisor) operational.</w:t>
            </w:r>
          </w:p>
        </w:tc>
      </w:tr>
    </w:tbl>
    <w:p>
      <w:r>
        <w:br w:type="page"/>
      </w:r>
    </w:p>
    <w:p>
      <w:pPr>
        <w:pStyle w:val="Heading1"/>
      </w:pPr>
      <w:r>
        <w:rPr>
          <w:rFonts w:ascii="Arial" w:cs="Arial" w:eastAsia="Arial" w:hAnsi="Arial"/>
        </w:rPr>
        <w:t xml:space="preserve">9. Open Questions &amp; Decision Log</w:t>
      </w:r>
    </w:p>
    <w:tbl>
      <w:tblPr>
        <w:tblW w:type="dxa" w:w="13440"/>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4540"/>
        <w:gridCol w:w="1000"/>
        <w:gridCol w:w="5000"/>
      </w:tblGrid>
      <w:tr>
        <w:tc>
          <w:tcPr>
            <w:tcW w:type="dxa" w:w="700"/>
            <w:tcBorders>
              <w:top w:val="single" w:color="B0C4DE" w:sz="1"/>
              <w:left w:val="single" w:color="B0C4DE" w:sz="1"/>
              <w:bottom w:val="single" w:color="B0C4DE" w:sz="1"/>
              <w:right w:val="single" w:color="B0C4DE" w:sz="1"/>
            </w:tcBorders>
            <w:shd w:fill="1E3A5F" w:val="clear"/>
            <w:tcMar>
              <w:top w:type="dxa" w:w="60"/>
              <w:left w:type="dxa" w:w="100"/>
              <w:bottom w:type="dxa" w:w="60"/>
              <w:right w:type="dxa" w:w="100"/>
            </w:tcMar>
            <w:vAlign w:val="center"/>
          </w:tcPr>
          <w:p>
            <w:r>
              <w:rPr>
                <w:rFonts w:ascii="Arial" w:cs="Arial" w:eastAsia="Arial" w:hAnsi="Arial"/>
                <w:b/>
                <w:bCs/>
                <w:color w:val="FFFFFF"/>
                <w:sz w:val="18"/>
                <w:szCs w:val="18"/>
              </w:rPr>
              <w:t xml:space="preserve">ID</w:t>
            </w:r>
          </w:p>
        </w:tc>
        <w:tc>
          <w:tcPr>
            <w:tcW w:type="dxa" w:w="2200"/>
            <w:tcBorders>
              <w:top w:val="single" w:color="B0C4DE" w:sz="1"/>
              <w:left w:val="single" w:color="B0C4DE" w:sz="1"/>
              <w:bottom w:val="single" w:color="B0C4DE" w:sz="1"/>
              <w:right w:val="single" w:color="B0C4DE" w:sz="1"/>
            </w:tcBorders>
            <w:shd w:fill="1E3A5F" w:val="clear"/>
            <w:tcMar>
              <w:top w:type="dxa" w:w="60"/>
              <w:left w:type="dxa" w:w="100"/>
              <w:bottom w:type="dxa" w:w="60"/>
              <w:right w:type="dxa" w:w="100"/>
            </w:tcMar>
            <w:vAlign w:val="center"/>
          </w:tcPr>
          <w:p>
            <w:r>
              <w:rPr>
                <w:rFonts w:ascii="Arial" w:cs="Arial" w:eastAsia="Arial" w:hAnsi="Arial"/>
                <w:b/>
                <w:bCs/>
                <w:color w:val="FFFFFF"/>
                <w:sz w:val="18"/>
                <w:szCs w:val="18"/>
              </w:rPr>
              <w:t xml:space="preserve">Topic</w:t>
            </w:r>
          </w:p>
        </w:tc>
        <w:tc>
          <w:tcPr>
            <w:tcW w:type="dxa" w:w="4540"/>
            <w:tcBorders>
              <w:top w:val="single" w:color="B0C4DE" w:sz="1"/>
              <w:left w:val="single" w:color="B0C4DE" w:sz="1"/>
              <w:bottom w:val="single" w:color="B0C4DE" w:sz="1"/>
              <w:right w:val="single" w:color="B0C4DE" w:sz="1"/>
            </w:tcBorders>
            <w:shd w:fill="1E3A5F" w:val="clear"/>
            <w:tcMar>
              <w:top w:type="dxa" w:w="60"/>
              <w:left w:type="dxa" w:w="100"/>
              <w:bottom w:type="dxa" w:w="60"/>
              <w:right w:type="dxa" w:w="100"/>
            </w:tcMar>
            <w:vAlign w:val="center"/>
          </w:tcPr>
          <w:p>
            <w:r>
              <w:rPr>
                <w:rFonts w:ascii="Arial" w:cs="Arial" w:eastAsia="Arial" w:hAnsi="Arial"/>
                <w:b/>
                <w:bCs/>
                <w:color w:val="FFFFFF"/>
                <w:sz w:val="18"/>
                <w:szCs w:val="18"/>
              </w:rPr>
              <w:t xml:space="preserve">Question</w:t>
            </w:r>
          </w:p>
        </w:tc>
        <w:tc>
          <w:tcPr>
            <w:tcW w:type="dxa" w:w="1000"/>
            <w:tcBorders>
              <w:top w:val="single" w:color="B0C4DE" w:sz="1"/>
              <w:left w:val="single" w:color="B0C4DE" w:sz="1"/>
              <w:bottom w:val="single" w:color="B0C4DE" w:sz="1"/>
              <w:right w:val="single" w:color="B0C4DE" w:sz="1"/>
            </w:tcBorders>
            <w:shd w:fill="1E3A5F" w:val="clear"/>
            <w:tcMar>
              <w:top w:type="dxa" w:w="60"/>
              <w:left w:type="dxa" w:w="100"/>
              <w:bottom w:type="dxa" w:w="60"/>
              <w:right w:type="dxa" w:w="100"/>
            </w:tcMar>
            <w:vAlign w:val="center"/>
          </w:tcPr>
          <w:p>
            <w:r>
              <w:rPr>
                <w:rFonts w:ascii="Arial" w:cs="Arial" w:eastAsia="Arial" w:hAnsi="Arial"/>
                <w:b/>
                <w:bCs/>
                <w:color w:val="FFFFFF"/>
                <w:sz w:val="18"/>
                <w:szCs w:val="18"/>
              </w:rPr>
              <w:t xml:space="preserve">Status</w:t>
            </w:r>
          </w:p>
        </w:tc>
        <w:tc>
          <w:tcPr>
            <w:tcW w:type="dxa" w:w="5000"/>
            <w:tcBorders>
              <w:top w:val="single" w:color="B0C4DE" w:sz="1"/>
              <w:left w:val="single" w:color="B0C4DE" w:sz="1"/>
              <w:bottom w:val="single" w:color="B0C4DE" w:sz="1"/>
              <w:right w:val="single" w:color="B0C4DE" w:sz="1"/>
            </w:tcBorders>
            <w:shd w:fill="1E3A5F" w:val="clear"/>
            <w:tcMar>
              <w:top w:type="dxa" w:w="60"/>
              <w:left w:type="dxa" w:w="100"/>
              <w:bottom w:type="dxa" w:w="60"/>
              <w:right w:type="dxa" w:w="100"/>
            </w:tcMar>
            <w:vAlign w:val="center"/>
          </w:tcPr>
          <w:p>
            <w:r>
              <w:rPr>
                <w:rFonts w:ascii="Arial" w:cs="Arial" w:eastAsia="Arial" w:hAnsi="Arial"/>
                <w:b/>
                <w:bCs/>
                <w:color w:val="FFFFFF"/>
                <w:sz w:val="18"/>
                <w:szCs w:val="18"/>
              </w:rPr>
              <w:t xml:space="preserve">Context</w:t>
            </w:r>
          </w:p>
        </w:tc>
      </w:tr>
      <w:tr>
        <w:tc>
          <w:tcPr>
            <w:tcW w:type="dxa" w:w="70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b/>
                <w:bCs/>
                <w:sz w:val="18"/>
                <w:szCs w:val="18"/>
              </w:rPr>
              <w:t xml:space="preserve">Q1</w:t>
            </w:r>
          </w:p>
        </w:tc>
        <w:tc>
          <w:tcPr>
            <w:tcW w:type="dxa" w:w="220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b/>
                <w:bCs/>
                <w:sz w:val="18"/>
                <w:szCs w:val="18"/>
              </w:rPr>
              <w:t xml:space="preserve">Multi-deal support</w:t>
            </w:r>
          </w:p>
        </w:tc>
        <w:tc>
          <w:tcPr>
            <w:tcW w:type="dxa" w:w="454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sz w:val="18"/>
                <w:szCs w:val="18"/>
              </w:rPr>
              <w:t xml:space="preserve">Should the system support multiple concurrent deals from Day 1, or is single-deal sufficient for MVP?</w:t>
            </w:r>
          </w:p>
        </w:tc>
        <w:tc>
          <w:tcPr>
            <w:tcW w:type="dxa" w:w="100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sz w:val="18"/>
                <w:szCs w:val="18"/>
              </w:rPr>
              <w:t xml:space="preserve">Pending</w:t>
            </w:r>
          </w:p>
        </w:tc>
        <w:tc>
          <w:tcPr>
            <w:tcW w:type="dxa" w:w="500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sz w:val="18"/>
                <w:szCs w:val="18"/>
              </w:rPr>
              <w:t xml:space="preserve">Multi-deal requires deal selector UI and cross-deal dashboard. Single-deal simpler for prototype.</w:t>
            </w:r>
          </w:p>
        </w:tc>
      </w:tr>
      <w:tr>
        <w:tc>
          <w:tcPr>
            <w:tcW w:type="dxa" w:w="700"/>
            <w:tcBorders>
              <w:top w:val="single" w:color="B0C4DE" w:sz="1"/>
              <w:left w:val="single" w:color="B0C4DE" w:sz="1"/>
              <w:bottom w:val="single" w:color="B0C4DE" w:sz="1"/>
              <w:right w:val="single" w:color="B0C4DE" w:sz="1"/>
            </w:tcBorders>
            <w:shd w:fill="F0F6FF" w:val="clear"/>
            <w:tcMar>
              <w:top w:type="dxa" w:w="60"/>
              <w:left w:type="dxa" w:w="100"/>
              <w:bottom w:type="dxa" w:w="60"/>
              <w:right w:type="dxa" w:w="100"/>
            </w:tcMar>
            <w:vAlign w:val="center"/>
          </w:tcPr>
          <w:p>
            <w:r>
              <w:rPr>
                <w:rFonts w:ascii="Arial" w:cs="Arial" w:eastAsia="Arial" w:hAnsi="Arial"/>
                <w:b/>
                <w:bCs/>
                <w:sz w:val="18"/>
                <w:szCs w:val="18"/>
              </w:rPr>
              <w:t xml:space="preserve">Q2</w:t>
            </w:r>
          </w:p>
        </w:tc>
        <w:tc>
          <w:tcPr>
            <w:tcW w:type="dxa" w:w="2200"/>
            <w:tcBorders>
              <w:top w:val="single" w:color="B0C4DE" w:sz="1"/>
              <w:left w:val="single" w:color="B0C4DE" w:sz="1"/>
              <w:bottom w:val="single" w:color="B0C4DE" w:sz="1"/>
              <w:right w:val="single" w:color="B0C4DE" w:sz="1"/>
            </w:tcBorders>
            <w:shd w:fill="F0F6FF" w:val="clear"/>
            <w:tcMar>
              <w:top w:type="dxa" w:w="60"/>
              <w:left w:type="dxa" w:w="100"/>
              <w:bottom w:type="dxa" w:w="60"/>
              <w:right w:type="dxa" w:w="100"/>
            </w:tcMar>
            <w:vAlign w:val="center"/>
          </w:tcPr>
          <w:p>
            <w:r>
              <w:rPr>
                <w:rFonts w:ascii="Arial" w:cs="Arial" w:eastAsia="Arial" w:hAnsi="Arial"/>
                <w:b/>
                <w:bCs/>
                <w:sz w:val="18"/>
                <w:szCs w:val="18"/>
              </w:rPr>
              <w:t xml:space="preserve">Authentication provider</w:t>
            </w:r>
          </w:p>
        </w:tc>
        <w:tc>
          <w:tcPr>
            <w:tcW w:type="dxa" w:w="4540"/>
            <w:tcBorders>
              <w:top w:val="single" w:color="B0C4DE" w:sz="1"/>
              <w:left w:val="single" w:color="B0C4DE" w:sz="1"/>
              <w:bottom w:val="single" w:color="B0C4DE" w:sz="1"/>
              <w:right w:val="single" w:color="B0C4DE" w:sz="1"/>
            </w:tcBorders>
            <w:shd w:fill="F0F6FF" w:val="clear"/>
            <w:tcMar>
              <w:top w:type="dxa" w:w="60"/>
              <w:left w:type="dxa" w:w="100"/>
              <w:bottom w:type="dxa" w:w="60"/>
              <w:right w:type="dxa" w:w="100"/>
            </w:tcMar>
            <w:vAlign w:val="center"/>
          </w:tcPr>
          <w:p>
            <w:r>
              <w:rPr>
                <w:rFonts w:ascii="Arial" w:cs="Arial" w:eastAsia="Arial" w:hAnsi="Arial"/>
                <w:sz w:val="18"/>
                <w:szCs w:val="18"/>
              </w:rPr>
              <w:t xml:space="preserve">Clerk vs. Auth0 vs. Supabase Auth for user management and RBAC?</w:t>
            </w:r>
          </w:p>
        </w:tc>
        <w:tc>
          <w:tcPr>
            <w:tcW w:type="dxa" w:w="1000"/>
            <w:tcBorders>
              <w:top w:val="single" w:color="B0C4DE" w:sz="1"/>
              <w:left w:val="single" w:color="B0C4DE" w:sz="1"/>
              <w:bottom w:val="single" w:color="B0C4DE" w:sz="1"/>
              <w:right w:val="single" w:color="B0C4DE" w:sz="1"/>
            </w:tcBorders>
            <w:shd w:fill="F0F6FF" w:val="clear"/>
            <w:tcMar>
              <w:top w:type="dxa" w:w="60"/>
              <w:left w:type="dxa" w:w="100"/>
              <w:bottom w:type="dxa" w:w="60"/>
              <w:right w:type="dxa" w:w="100"/>
            </w:tcMar>
            <w:vAlign w:val="center"/>
          </w:tcPr>
          <w:p>
            <w:r>
              <w:rPr>
                <w:rFonts w:ascii="Arial" w:cs="Arial" w:eastAsia="Arial" w:hAnsi="Arial"/>
                <w:sz w:val="18"/>
                <w:szCs w:val="18"/>
              </w:rPr>
              <w:t xml:space="preserve">Pending</w:t>
            </w:r>
          </w:p>
        </w:tc>
        <w:tc>
          <w:tcPr>
            <w:tcW w:type="dxa" w:w="5000"/>
            <w:tcBorders>
              <w:top w:val="single" w:color="B0C4DE" w:sz="1"/>
              <w:left w:val="single" w:color="B0C4DE" w:sz="1"/>
              <w:bottom w:val="single" w:color="B0C4DE" w:sz="1"/>
              <w:right w:val="single" w:color="B0C4DE" w:sz="1"/>
            </w:tcBorders>
            <w:shd w:fill="F0F6FF" w:val="clear"/>
            <w:tcMar>
              <w:top w:type="dxa" w:w="60"/>
              <w:left w:type="dxa" w:w="100"/>
              <w:bottom w:type="dxa" w:w="60"/>
              <w:right w:type="dxa" w:w="100"/>
            </w:tcMar>
            <w:vAlign w:val="center"/>
          </w:tcPr>
          <w:p>
            <w:r>
              <w:rPr>
                <w:rFonts w:ascii="Arial" w:cs="Arial" w:eastAsia="Arial" w:hAnsi="Arial"/>
                <w:sz w:val="18"/>
                <w:szCs w:val="18"/>
              </w:rPr>
              <w:t xml:space="preserve">Clerk offers fastest integration. Auth0 more enterprise-ready. Supabase Auth pairs with Neon.</w:t>
            </w:r>
          </w:p>
        </w:tc>
      </w:tr>
      <w:tr>
        <w:tc>
          <w:tcPr>
            <w:tcW w:type="dxa" w:w="70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b/>
                <w:bCs/>
                <w:sz w:val="18"/>
                <w:szCs w:val="18"/>
              </w:rPr>
              <w:t xml:space="preserve">Q3</w:t>
            </w:r>
          </w:p>
        </w:tc>
        <w:tc>
          <w:tcPr>
            <w:tcW w:type="dxa" w:w="220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b/>
                <w:bCs/>
                <w:sz w:val="18"/>
                <w:szCs w:val="18"/>
              </w:rPr>
              <w:t xml:space="preserve">Web search for agents</w:t>
            </w:r>
          </w:p>
        </w:tc>
        <w:tc>
          <w:tcPr>
            <w:tcW w:type="dxa" w:w="454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sz w:val="18"/>
                <w:szCs w:val="18"/>
              </w:rPr>
              <w:t xml:space="preserve">Should Phase 2 agents have real-time web search for regulatory intelligence, or pre-ingested only?</w:t>
            </w:r>
          </w:p>
        </w:tc>
        <w:tc>
          <w:tcPr>
            <w:tcW w:type="dxa" w:w="100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sz w:val="18"/>
                <w:szCs w:val="18"/>
              </w:rPr>
              <w:t xml:space="preserve">Pending</w:t>
            </w:r>
          </w:p>
        </w:tc>
        <w:tc>
          <w:tcPr>
            <w:tcW w:type="dxa" w:w="500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sz w:val="18"/>
                <w:szCs w:val="18"/>
              </w:rPr>
              <w:t xml:space="preserve">Web search adds latency and cost. Pre-ingestion is more controlled but less current.</w:t>
            </w:r>
          </w:p>
        </w:tc>
      </w:tr>
      <w:tr>
        <w:tc>
          <w:tcPr>
            <w:tcW w:type="dxa" w:w="700"/>
            <w:tcBorders>
              <w:top w:val="single" w:color="B0C4DE" w:sz="1"/>
              <w:left w:val="single" w:color="B0C4DE" w:sz="1"/>
              <w:bottom w:val="single" w:color="B0C4DE" w:sz="1"/>
              <w:right w:val="single" w:color="B0C4DE" w:sz="1"/>
            </w:tcBorders>
            <w:shd w:fill="F0F6FF" w:val="clear"/>
            <w:tcMar>
              <w:top w:type="dxa" w:w="60"/>
              <w:left w:type="dxa" w:w="100"/>
              <w:bottom w:type="dxa" w:w="60"/>
              <w:right w:type="dxa" w:w="100"/>
            </w:tcMar>
            <w:vAlign w:val="center"/>
          </w:tcPr>
          <w:p>
            <w:r>
              <w:rPr>
                <w:rFonts w:ascii="Arial" w:cs="Arial" w:eastAsia="Arial" w:hAnsi="Arial"/>
                <w:b/>
                <w:bCs/>
                <w:sz w:val="18"/>
                <w:szCs w:val="18"/>
              </w:rPr>
              <w:t xml:space="preserve">Q4</w:t>
            </w:r>
          </w:p>
        </w:tc>
        <w:tc>
          <w:tcPr>
            <w:tcW w:type="dxa" w:w="2200"/>
            <w:tcBorders>
              <w:top w:val="single" w:color="B0C4DE" w:sz="1"/>
              <w:left w:val="single" w:color="B0C4DE" w:sz="1"/>
              <w:bottom w:val="single" w:color="B0C4DE" w:sz="1"/>
              <w:right w:val="single" w:color="B0C4DE" w:sz="1"/>
            </w:tcBorders>
            <w:shd w:fill="F0F6FF" w:val="clear"/>
            <w:tcMar>
              <w:top w:type="dxa" w:w="60"/>
              <w:left w:type="dxa" w:w="100"/>
              <w:bottom w:type="dxa" w:w="60"/>
              <w:right w:type="dxa" w:w="100"/>
            </w:tcMar>
            <w:vAlign w:val="center"/>
          </w:tcPr>
          <w:p>
            <w:r>
              <w:rPr>
                <w:rFonts w:ascii="Arial" w:cs="Arial" w:eastAsia="Arial" w:hAnsi="Arial"/>
                <w:b/>
                <w:bCs/>
                <w:sz w:val="18"/>
                <w:szCs w:val="18"/>
              </w:rPr>
              <w:t xml:space="preserve">Approval workflow</w:t>
            </w:r>
          </w:p>
        </w:tc>
        <w:tc>
          <w:tcPr>
            <w:tcW w:type="dxa" w:w="4540"/>
            <w:tcBorders>
              <w:top w:val="single" w:color="B0C4DE" w:sz="1"/>
              <w:left w:val="single" w:color="B0C4DE" w:sz="1"/>
              <w:bottom w:val="single" w:color="B0C4DE" w:sz="1"/>
              <w:right w:val="single" w:color="B0C4DE" w:sz="1"/>
            </w:tcBorders>
            <w:shd w:fill="F0F6FF" w:val="clear"/>
            <w:tcMar>
              <w:top w:type="dxa" w:w="60"/>
              <w:left w:type="dxa" w:w="100"/>
              <w:bottom w:type="dxa" w:w="60"/>
              <w:right w:type="dxa" w:w="100"/>
            </w:tcMar>
            <w:vAlign w:val="center"/>
          </w:tcPr>
          <w:p>
            <w:r>
              <w:rPr>
                <w:rFonts w:ascii="Arial" w:cs="Arial" w:eastAsia="Arial" w:hAnsi="Arial"/>
                <w:sz w:val="18"/>
                <w:szCs w:val="18"/>
              </w:rPr>
              <w:t xml:space="preserve">What approval chain is needed for AI risk alerts before they appear on SteerCo dashboard?</w:t>
            </w:r>
          </w:p>
        </w:tc>
        <w:tc>
          <w:tcPr>
            <w:tcW w:type="dxa" w:w="1000"/>
            <w:tcBorders>
              <w:top w:val="single" w:color="B0C4DE" w:sz="1"/>
              <w:left w:val="single" w:color="B0C4DE" w:sz="1"/>
              <w:bottom w:val="single" w:color="B0C4DE" w:sz="1"/>
              <w:right w:val="single" w:color="B0C4DE" w:sz="1"/>
            </w:tcBorders>
            <w:shd w:fill="F0F6FF" w:val="clear"/>
            <w:tcMar>
              <w:top w:type="dxa" w:w="60"/>
              <w:left w:type="dxa" w:w="100"/>
              <w:bottom w:type="dxa" w:w="60"/>
              <w:right w:type="dxa" w:w="100"/>
            </w:tcMar>
            <w:vAlign w:val="center"/>
          </w:tcPr>
          <w:p>
            <w:r>
              <w:rPr>
                <w:rFonts w:ascii="Arial" w:cs="Arial" w:eastAsia="Arial" w:hAnsi="Arial"/>
                <w:sz w:val="18"/>
                <w:szCs w:val="18"/>
              </w:rPr>
              <w:t xml:space="preserve">Pending</w:t>
            </w:r>
          </w:p>
        </w:tc>
        <w:tc>
          <w:tcPr>
            <w:tcW w:type="dxa" w:w="5000"/>
            <w:tcBorders>
              <w:top w:val="single" w:color="B0C4DE" w:sz="1"/>
              <w:left w:val="single" w:color="B0C4DE" w:sz="1"/>
              <w:bottom w:val="single" w:color="B0C4DE" w:sz="1"/>
              <w:right w:val="single" w:color="B0C4DE" w:sz="1"/>
            </w:tcBorders>
            <w:shd w:fill="F0F6FF" w:val="clear"/>
            <w:tcMar>
              <w:top w:type="dxa" w:w="60"/>
              <w:left w:type="dxa" w:w="100"/>
              <w:bottom w:type="dxa" w:w="60"/>
              <w:right w:type="dxa" w:w="100"/>
            </w:tcMar>
            <w:vAlign w:val="center"/>
          </w:tcPr>
          <w:p>
            <w:r>
              <w:rPr>
                <w:rFonts w:ascii="Arial" w:cs="Arial" w:eastAsia="Arial" w:hAnsi="Arial"/>
                <w:sz w:val="18"/>
                <w:szCs w:val="18"/>
              </w:rPr>
              <w:t xml:space="preserve">Options: auto-show with severity filter, PMO review queue, or workstream lead approval.</w:t>
            </w:r>
          </w:p>
        </w:tc>
      </w:tr>
      <w:tr>
        <w:tc>
          <w:tcPr>
            <w:tcW w:type="dxa" w:w="70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b/>
                <w:bCs/>
                <w:sz w:val="18"/>
                <w:szCs w:val="18"/>
              </w:rPr>
              <w:t xml:space="preserve">Q5</w:t>
            </w:r>
          </w:p>
        </w:tc>
        <w:tc>
          <w:tcPr>
            <w:tcW w:type="dxa" w:w="220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b/>
                <w:bCs/>
                <w:sz w:val="18"/>
                <w:szCs w:val="18"/>
              </w:rPr>
              <w:t xml:space="preserve">Document repository</w:t>
            </w:r>
          </w:p>
        </w:tc>
        <w:tc>
          <w:tcPr>
            <w:tcW w:type="dxa" w:w="454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sz w:val="18"/>
                <w:szCs w:val="18"/>
              </w:rPr>
              <w:t xml:space="preserve">Is there an existing deal document repository (SharePoint, data room) for Phase 3 vector search?</w:t>
            </w:r>
          </w:p>
        </w:tc>
        <w:tc>
          <w:tcPr>
            <w:tcW w:type="dxa" w:w="100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sz w:val="18"/>
                <w:szCs w:val="18"/>
              </w:rPr>
              <w:t xml:space="preserve">Pending</w:t>
            </w:r>
          </w:p>
        </w:tc>
        <w:tc>
          <w:tcPr>
            <w:tcW w:type="dxa" w:w="500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sz w:val="18"/>
                <w:szCs w:val="18"/>
              </w:rPr>
              <w:t xml:space="preserve">Determines Phase 3 integration scope and document ingestion pipeline requirements.</w:t>
            </w:r>
          </w:p>
        </w:tc>
      </w:tr>
      <w:tr>
        <w:tc>
          <w:tcPr>
            <w:tcW w:type="dxa" w:w="700"/>
            <w:tcBorders>
              <w:top w:val="single" w:color="B0C4DE" w:sz="1"/>
              <w:left w:val="single" w:color="B0C4DE" w:sz="1"/>
              <w:bottom w:val="single" w:color="B0C4DE" w:sz="1"/>
              <w:right w:val="single" w:color="B0C4DE" w:sz="1"/>
            </w:tcBorders>
            <w:shd w:fill="F0F6FF" w:val="clear"/>
            <w:tcMar>
              <w:top w:type="dxa" w:w="60"/>
              <w:left w:type="dxa" w:w="100"/>
              <w:bottom w:type="dxa" w:w="60"/>
              <w:right w:type="dxa" w:w="100"/>
            </w:tcMar>
            <w:vAlign w:val="center"/>
          </w:tcPr>
          <w:p>
            <w:r>
              <w:rPr>
                <w:rFonts w:ascii="Arial" w:cs="Arial" w:eastAsia="Arial" w:hAnsi="Arial"/>
                <w:b/>
                <w:bCs/>
                <w:sz w:val="18"/>
                <w:szCs w:val="18"/>
              </w:rPr>
              <w:t xml:space="preserve">Q6</w:t>
            </w:r>
          </w:p>
        </w:tc>
        <w:tc>
          <w:tcPr>
            <w:tcW w:type="dxa" w:w="2200"/>
            <w:tcBorders>
              <w:top w:val="single" w:color="B0C4DE" w:sz="1"/>
              <w:left w:val="single" w:color="B0C4DE" w:sz="1"/>
              <w:bottom w:val="single" w:color="B0C4DE" w:sz="1"/>
              <w:right w:val="single" w:color="B0C4DE" w:sz="1"/>
            </w:tcBorders>
            <w:shd w:fill="F0F6FF" w:val="clear"/>
            <w:tcMar>
              <w:top w:type="dxa" w:w="60"/>
              <w:left w:type="dxa" w:w="100"/>
              <w:bottom w:type="dxa" w:w="60"/>
              <w:right w:type="dxa" w:w="100"/>
            </w:tcMar>
            <w:vAlign w:val="center"/>
          </w:tcPr>
          <w:p>
            <w:r>
              <w:rPr>
                <w:rFonts w:ascii="Arial" w:cs="Arial" w:eastAsia="Arial" w:hAnsi="Arial"/>
                <w:b/>
                <w:bCs/>
                <w:sz w:val="18"/>
                <w:szCs w:val="18"/>
              </w:rPr>
              <w:t xml:space="preserve">Pricing model</w:t>
            </w:r>
          </w:p>
        </w:tc>
        <w:tc>
          <w:tcPr>
            <w:tcW w:type="dxa" w:w="4540"/>
            <w:tcBorders>
              <w:top w:val="single" w:color="B0C4DE" w:sz="1"/>
              <w:left w:val="single" w:color="B0C4DE" w:sz="1"/>
              <w:bottom w:val="single" w:color="B0C4DE" w:sz="1"/>
              <w:right w:val="single" w:color="B0C4DE" w:sz="1"/>
            </w:tcBorders>
            <w:shd w:fill="F0F6FF" w:val="clear"/>
            <w:tcMar>
              <w:top w:type="dxa" w:w="60"/>
              <w:left w:type="dxa" w:w="100"/>
              <w:bottom w:type="dxa" w:w="60"/>
              <w:right w:type="dxa" w:w="100"/>
            </w:tcMar>
            <w:vAlign w:val="center"/>
          </w:tcPr>
          <w:p>
            <w:r>
              <w:rPr>
                <w:rFonts w:ascii="Arial" w:cs="Arial" w:eastAsia="Arial" w:hAnsi="Arial"/>
                <w:sz w:val="18"/>
                <w:szCs w:val="18"/>
              </w:rPr>
              <w:t xml:space="preserve">Standalone SaaS vs. bundled with consulting engagements vs. both?</w:t>
            </w:r>
          </w:p>
        </w:tc>
        <w:tc>
          <w:tcPr>
            <w:tcW w:type="dxa" w:w="1000"/>
            <w:tcBorders>
              <w:top w:val="single" w:color="B0C4DE" w:sz="1"/>
              <w:left w:val="single" w:color="B0C4DE" w:sz="1"/>
              <w:bottom w:val="single" w:color="B0C4DE" w:sz="1"/>
              <w:right w:val="single" w:color="B0C4DE" w:sz="1"/>
            </w:tcBorders>
            <w:shd w:fill="F0F6FF" w:val="clear"/>
            <w:tcMar>
              <w:top w:type="dxa" w:w="60"/>
              <w:left w:type="dxa" w:w="100"/>
              <w:bottom w:type="dxa" w:w="60"/>
              <w:right w:type="dxa" w:w="100"/>
            </w:tcMar>
            <w:vAlign w:val="center"/>
          </w:tcPr>
          <w:p>
            <w:r>
              <w:rPr>
                <w:rFonts w:ascii="Arial" w:cs="Arial" w:eastAsia="Arial" w:hAnsi="Arial"/>
                <w:sz w:val="18"/>
                <w:szCs w:val="18"/>
              </w:rPr>
              <w:t xml:space="preserve">Pending</w:t>
            </w:r>
          </w:p>
        </w:tc>
        <w:tc>
          <w:tcPr>
            <w:tcW w:type="dxa" w:w="5000"/>
            <w:tcBorders>
              <w:top w:val="single" w:color="B0C4DE" w:sz="1"/>
              <w:left w:val="single" w:color="B0C4DE" w:sz="1"/>
              <w:bottom w:val="single" w:color="B0C4DE" w:sz="1"/>
              <w:right w:val="single" w:color="B0C4DE" w:sz="1"/>
            </w:tcBorders>
            <w:shd w:fill="F0F6FF" w:val="clear"/>
            <w:tcMar>
              <w:top w:type="dxa" w:w="60"/>
              <w:left w:type="dxa" w:w="100"/>
              <w:bottom w:type="dxa" w:w="60"/>
              <w:right w:type="dxa" w:w="100"/>
            </w:tcMar>
            <w:vAlign w:val="center"/>
          </w:tcPr>
          <w:p>
            <w:r>
              <w:rPr>
                <w:rFonts w:ascii="Arial" w:cs="Arial" w:eastAsia="Arial" w:hAnsi="Arial"/>
                <w:sz w:val="18"/>
                <w:szCs w:val="18"/>
              </w:rPr>
              <w:t xml:space="preserve">Affects multi-tenancy requirements, feature gating, and commercialization timeline.</w:t>
            </w:r>
          </w:p>
        </w:tc>
      </w:tr>
      <w:tr>
        <w:tc>
          <w:tcPr>
            <w:tcW w:type="dxa" w:w="70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b/>
                <w:bCs/>
                <w:sz w:val="18"/>
                <w:szCs w:val="18"/>
              </w:rPr>
              <w:t xml:space="preserve">Q7</w:t>
            </w:r>
          </w:p>
        </w:tc>
        <w:tc>
          <w:tcPr>
            <w:tcW w:type="dxa" w:w="220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b/>
                <w:bCs/>
                <w:sz w:val="18"/>
                <w:szCs w:val="18"/>
              </w:rPr>
              <w:t xml:space="preserve">Embedding model</w:t>
            </w:r>
          </w:p>
        </w:tc>
        <w:tc>
          <w:tcPr>
            <w:tcW w:type="dxa" w:w="454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sz w:val="18"/>
                <w:szCs w:val="18"/>
              </w:rPr>
              <w:t xml:space="preserve">OpenAI text-embedding-3-small vs. Cohere embed-v3 vs. open-source (e5-large)?</w:t>
            </w:r>
          </w:p>
        </w:tc>
        <w:tc>
          <w:tcPr>
            <w:tcW w:type="dxa" w:w="100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sz w:val="18"/>
                <w:szCs w:val="18"/>
              </w:rPr>
              <w:t xml:space="preserve">Pending</w:t>
            </w:r>
          </w:p>
        </w:tc>
        <w:tc>
          <w:tcPr>
            <w:tcW w:type="dxa" w:w="500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sz w:val="18"/>
                <w:szCs w:val="18"/>
              </w:rPr>
              <w:t xml:space="preserve">Cost/quality tradeoff. OpenAI simplest. Open-source avoids vendor lock-in.</w:t>
            </w:r>
          </w:p>
        </w:tc>
      </w:tr>
    </w:tbl>
    <w:p>
      <w:pPr>
        <w:spacing w:after="80"/>
      </w:pPr>
    </w:p>
    <w:p>
      <w:pPr>
        <w:pStyle w:val="Heading1"/>
      </w:pPr>
      <w:r>
        <w:rPr>
          <w:rFonts w:ascii="Arial" w:cs="Arial" w:eastAsia="Arial" w:hAnsi="Arial"/>
        </w:rPr>
        <w:t xml:space="preserve">10. Appendix: Document Cross-Reference</w:t>
      </w:r>
    </w:p>
    <w:p>
      <w:pPr>
        <w:spacing w:after="120"/>
      </w:pPr>
      <w:r>
        <w:rPr>
          <w:rFonts w:ascii="Arial" w:cs="Arial" w:eastAsia="Arial" w:hAnsi="Arial"/>
          <w:sz w:val="20"/>
          <w:szCs w:val="20"/>
        </w:rPr>
        <w:t xml:space="preserve">This PRD is designed to be read alongside the following companion documents, each of which provides detailed specifications for its respective domain:</w:t>
      </w:r>
    </w:p>
    <w:tbl>
      <w:tblPr>
        <w:tblW w:type="dxa" w:w="13440"/>
        <w:tblBorders>
          <w:top w:val="single" w:color="auto" w:sz="4"/>
          <w:left w:val="single" w:color="auto" w:sz="4"/>
          <w:bottom w:val="single" w:color="auto" w:sz="4"/>
          <w:right w:val="single" w:color="auto" w:sz="4"/>
          <w:insideH w:val="single" w:color="auto" w:sz="4"/>
          <w:insideV w:val="single" w:color="auto" w:sz="4"/>
        </w:tblBorders>
      </w:tblPr>
      <w:tblGrid>
        <w:gridCol w:w="3400"/>
        <w:gridCol w:w="6040"/>
        <w:gridCol w:w="4000"/>
      </w:tblGrid>
      <w:tr>
        <w:tc>
          <w:tcPr>
            <w:tcW w:type="dxa" w:w="3400"/>
            <w:tcBorders>
              <w:top w:val="single" w:color="B0C4DE" w:sz="1"/>
              <w:left w:val="single" w:color="B0C4DE" w:sz="1"/>
              <w:bottom w:val="single" w:color="B0C4DE" w:sz="1"/>
              <w:right w:val="single" w:color="B0C4DE" w:sz="1"/>
            </w:tcBorders>
            <w:shd w:fill="1E3A5F" w:val="clear"/>
            <w:tcMar>
              <w:top w:type="dxa" w:w="60"/>
              <w:left w:type="dxa" w:w="100"/>
              <w:bottom w:type="dxa" w:w="60"/>
              <w:right w:type="dxa" w:w="100"/>
            </w:tcMar>
            <w:vAlign w:val="center"/>
          </w:tcPr>
          <w:p>
            <w:r>
              <w:rPr>
                <w:rFonts w:ascii="Arial" w:cs="Arial" w:eastAsia="Arial" w:hAnsi="Arial"/>
                <w:b/>
                <w:bCs/>
                <w:color w:val="FFFFFF"/>
                <w:sz w:val="18"/>
                <w:szCs w:val="18"/>
              </w:rPr>
              <w:t xml:space="preserve">Document</w:t>
            </w:r>
          </w:p>
        </w:tc>
        <w:tc>
          <w:tcPr>
            <w:tcW w:type="dxa" w:w="6040"/>
            <w:tcBorders>
              <w:top w:val="single" w:color="B0C4DE" w:sz="1"/>
              <w:left w:val="single" w:color="B0C4DE" w:sz="1"/>
              <w:bottom w:val="single" w:color="B0C4DE" w:sz="1"/>
              <w:right w:val="single" w:color="B0C4DE" w:sz="1"/>
            </w:tcBorders>
            <w:shd w:fill="1E3A5F" w:val="clear"/>
            <w:tcMar>
              <w:top w:type="dxa" w:w="60"/>
              <w:left w:type="dxa" w:w="100"/>
              <w:bottom w:type="dxa" w:w="60"/>
              <w:right w:type="dxa" w:w="100"/>
            </w:tcMar>
            <w:vAlign w:val="center"/>
          </w:tcPr>
          <w:p>
            <w:r>
              <w:rPr>
                <w:rFonts w:ascii="Arial" w:cs="Arial" w:eastAsia="Arial" w:hAnsi="Arial"/>
                <w:b/>
                <w:bCs/>
                <w:color w:val="FFFFFF"/>
                <w:sz w:val="18"/>
                <w:szCs w:val="18"/>
              </w:rPr>
              <w:t xml:space="preserve">Contents</w:t>
            </w:r>
          </w:p>
        </w:tc>
        <w:tc>
          <w:tcPr>
            <w:tcW w:type="dxa" w:w="4000"/>
            <w:tcBorders>
              <w:top w:val="single" w:color="B0C4DE" w:sz="1"/>
              <w:left w:val="single" w:color="B0C4DE" w:sz="1"/>
              <w:bottom w:val="single" w:color="B0C4DE" w:sz="1"/>
              <w:right w:val="single" w:color="B0C4DE" w:sz="1"/>
            </w:tcBorders>
            <w:shd w:fill="1E3A5F" w:val="clear"/>
            <w:tcMar>
              <w:top w:type="dxa" w:w="60"/>
              <w:left w:type="dxa" w:w="100"/>
              <w:bottom w:type="dxa" w:w="60"/>
              <w:right w:type="dxa" w:w="100"/>
            </w:tcMar>
            <w:vAlign w:val="center"/>
          </w:tcPr>
          <w:p>
            <w:r>
              <w:rPr>
                <w:rFonts w:ascii="Arial" w:cs="Arial" w:eastAsia="Arial" w:hAnsi="Arial"/>
                <w:b/>
                <w:bCs/>
                <w:color w:val="FFFFFF"/>
                <w:sz w:val="18"/>
                <w:szCs w:val="18"/>
              </w:rPr>
              <w:t xml:space="preserve">PRD Usage</w:t>
            </w:r>
          </w:p>
        </w:tc>
      </w:tr>
      <w:tr>
        <w:tc>
          <w:tcPr>
            <w:tcW w:type="dxa" w:w="340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b/>
                <w:bCs/>
                <w:sz w:val="18"/>
                <w:szCs w:val="18"/>
              </w:rPr>
              <w:t xml:space="preserve">MA_Training_Model_Framework.docx</w:t>
            </w:r>
          </w:p>
        </w:tc>
        <w:tc>
          <w:tcPr>
            <w:tcW w:type="dxa" w:w="604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sz w:val="18"/>
                <w:szCs w:val="18"/>
              </w:rPr>
              <w:t xml:space="preserve">8 sections: Deal structures, legal entities, cross-border regulatory, TSA framework, due diligence, risk taxonomy, PRD cross-reference, 70+ sources</w:t>
            </w:r>
          </w:p>
        </w:tc>
        <w:tc>
          <w:tcPr>
            <w:tcW w:type="dxa" w:w="400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sz w:val="18"/>
                <w:szCs w:val="18"/>
              </w:rPr>
              <w:t xml:space="preserve">Knowledge base for AI system prompts and RAG content</w:t>
            </w:r>
          </w:p>
        </w:tc>
      </w:tr>
      <w:tr>
        <w:tc>
          <w:tcPr>
            <w:tcW w:type="dxa" w:w="3400"/>
            <w:tcBorders>
              <w:top w:val="single" w:color="B0C4DE" w:sz="1"/>
              <w:left w:val="single" w:color="B0C4DE" w:sz="1"/>
              <w:bottom w:val="single" w:color="B0C4DE" w:sz="1"/>
              <w:right w:val="single" w:color="B0C4DE" w:sz="1"/>
            </w:tcBorders>
            <w:shd w:fill="F0F6FF" w:val="clear"/>
            <w:tcMar>
              <w:top w:type="dxa" w:w="60"/>
              <w:left w:type="dxa" w:w="100"/>
              <w:bottom w:type="dxa" w:w="60"/>
              <w:right w:type="dxa" w:w="100"/>
            </w:tcMar>
            <w:vAlign w:val="center"/>
          </w:tcPr>
          <w:p>
            <w:r>
              <w:rPr>
                <w:rFonts w:ascii="Arial" w:cs="Arial" w:eastAsia="Arial" w:hAnsi="Arial"/>
                <w:b/>
                <w:bCs/>
                <w:sz w:val="18"/>
                <w:szCs w:val="18"/>
              </w:rPr>
              <w:t xml:space="preserve">MA_Decision_Tree_Agentic_Workflow.docx</w:t>
            </w:r>
          </w:p>
        </w:tc>
        <w:tc>
          <w:tcPr>
            <w:tcW w:type="dxa" w:w="6040"/>
            <w:tcBorders>
              <w:top w:val="single" w:color="B0C4DE" w:sz="1"/>
              <w:left w:val="single" w:color="B0C4DE" w:sz="1"/>
              <w:bottom w:val="single" w:color="B0C4DE" w:sz="1"/>
              <w:right w:val="single" w:color="B0C4DE" w:sz="1"/>
            </w:tcBorders>
            <w:shd w:fill="F0F6FF" w:val="clear"/>
            <w:tcMar>
              <w:top w:type="dxa" w:w="60"/>
              <w:left w:type="dxa" w:w="100"/>
              <w:bottom w:type="dxa" w:w="60"/>
              <w:right w:type="dxa" w:w="100"/>
            </w:tcMar>
            <w:vAlign w:val="center"/>
          </w:tcPr>
          <w:p>
            <w:r>
              <w:rPr>
                <w:rFonts w:ascii="Arial" w:cs="Arial" w:eastAsia="Arial" w:hAnsi="Arial"/>
                <w:sz w:val="18"/>
                <w:szCs w:val="18"/>
              </w:rPr>
              <w:t xml:space="preserve">9 sections: Intake fields, decision cascade, checklist engine, 3 agentic variants, tech architecture, input requirements, variant comparison, roadmap</w:t>
            </w:r>
          </w:p>
        </w:tc>
        <w:tc>
          <w:tcPr>
            <w:tcW w:type="dxa" w:w="4000"/>
            <w:tcBorders>
              <w:top w:val="single" w:color="B0C4DE" w:sz="1"/>
              <w:left w:val="single" w:color="B0C4DE" w:sz="1"/>
              <w:bottom w:val="single" w:color="B0C4DE" w:sz="1"/>
              <w:right w:val="single" w:color="B0C4DE" w:sz="1"/>
            </w:tcBorders>
            <w:shd w:fill="F0F6FF" w:val="clear"/>
            <w:tcMar>
              <w:top w:type="dxa" w:w="60"/>
              <w:left w:type="dxa" w:w="100"/>
              <w:bottom w:type="dxa" w:w="60"/>
              <w:right w:type="dxa" w:w="100"/>
            </w:tcMar>
            <w:vAlign w:val="center"/>
          </w:tcPr>
          <w:p>
            <w:r>
              <w:rPr>
                <w:rFonts w:ascii="Arial" w:cs="Arial" w:eastAsia="Arial" w:hAnsi="Arial"/>
                <w:sz w:val="18"/>
                <w:szCs w:val="18"/>
              </w:rPr>
              <w:t xml:space="preserve">Logic specification for workflow generation and agent design</w:t>
            </w:r>
          </w:p>
        </w:tc>
      </w:tr>
      <w:tr>
        <w:tc>
          <w:tcPr>
            <w:tcW w:type="dxa" w:w="340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b/>
                <w:bCs/>
                <w:sz w:val="18"/>
                <w:szCs w:val="18"/>
              </w:rPr>
              <w:t xml:space="preserve">Finance_Checklist_PRD_Reformatted.xlsx</w:t>
            </w:r>
          </w:p>
        </w:tc>
        <w:tc>
          <w:tcPr>
            <w:tcW w:type="dxa" w:w="604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sz w:val="18"/>
                <w:szCs w:val="18"/>
              </w:rPr>
              <w:t xml:space="preserve">443 line items (FRC-0001 to FRC-0443), 12 workstreams, 7 analytical tabs, Phase Timeline View, Importance Matrix, Dependencies</w:t>
            </w:r>
          </w:p>
        </w:tc>
        <w:tc>
          <w:tcPr>
            <w:tcW w:type="dxa" w:w="400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sz w:val="18"/>
                <w:szCs w:val="18"/>
              </w:rPr>
              <w:t xml:space="preserve">Master content for checklist_items table seed data</w:t>
            </w:r>
          </w:p>
        </w:tc>
      </w:tr>
      <w:tr>
        <w:tc>
          <w:tcPr>
            <w:tcW w:type="dxa" w:w="3400"/>
            <w:tcBorders>
              <w:top w:val="single" w:color="B0C4DE" w:sz="1"/>
              <w:left w:val="single" w:color="B0C4DE" w:sz="1"/>
              <w:bottom w:val="single" w:color="B0C4DE" w:sz="1"/>
              <w:right w:val="single" w:color="B0C4DE" w:sz="1"/>
            </w:tcBorders>
            <w:shd w:fill="F0F6FF" w:val="clear"/>
            <w:tcMar>
              <w:top w:type="dxa" w:w="60"/>
              <w:left w:type="dxa" w:w="100"/>
              <w:bottom w:type="dxa" w:w="60"/>
              <w:right w:type="dxa" w:w="100"/>
            </w:tcMar>
            <w:vAlign w:val="center"/>
          </w:tcPr>
          <w:p>
            <w:r>
              <w:rPr>
                <w:rFonts w:ascii="Arial" w:cs="Arial" w:eastAsia="Arial" w:hAnsi="Arial"/>
                <w:b/>
                <w:bCs/>
                <w:sz w:val="18"/>
                <w:szCs w:val="18"/>
              </w:rPr>
              <w:t xml:space="preserve">PMO_Dashboard_Wireframe.jsx</w:t>
            </w:r>
          </w:p>
        </w:tc>
        <w:tc>
          <w:tcPr>
            <w:tcW w:type="dxa" w:w="6040"/>
            <w:tcBorders>
              <w:top w:val="single" w:color="B0C4DE" w:sz="1"/>
              <w:left w:val="single" w:color="B0C4DE" w:sz="1"/>
              <w:bottom w:val="single" w:color="B0C4DE" w:sz="1"/>
              <w:right w:val="single" w:color="B0C4DE" w:sz="1"/>
            </w:tcBorders>
            <w:shd w:fill="F0F6FF" w:val="clear"/>
            <w:tcMar>
              <w:top w:type="dxa" w:w="60"/>
              <w:left w:type="dxa" w:w="100"/>
              <w:bottom w:type="dxa" w:w="60"/>
              <w:right w:type="dxa" w:w="100"/>
            </w:tcMar>
            <w:vAlign w:val="center"/>
          </w:tcPr>
          <w:p>
            <w:r>
              <w:rPr>
                <w:rFonts w:ascii="Arial" w:cs="Arial" w:eastAsia="Arial" w:hAnsi="Arial"/>
                <w:sz w:val="18"/>
                <w:szCs w:val="18"/>
              </w:rPr>
              <w:t xml:space="preserve">Interactive React wireframe: 4 tabs (Overview, Checklist, Risks, Timeline), deal context bar, KPI cards, workstream progress, risk register</w:t>
            </w:r>
          </w:p>
        </w:tc>
        <w:tc>
          <w:tcPr>
            <w:tcW w:type="dxa" w:w="4000"/>
            <w:tcBorders>
              <w:top w:val="single" w:color="B0C4DE" w:sz="1"/>
              <w:left w:val="single" w:color="B0C4DE" w:sz="1"/>
              <w:bottom w:val="single" w:color="B0C4DE" w:sz="1"/>
              <w:right w:val="single" w:color="B0C4DE" w:sz="1"/>
            </w:tcBorders>
            <w:shd w:fill="F0F6FF" w:val="clear"/>
            <w:tcMar>
              <w:top w:type="dxa" w:w="60"/>
              <w:left w:type="dxa" w:w="100"/>
              <w:bottom w:type="dxa" w:w="60"/>
              <w:right w:type="dxa" w:w="100"/>
            </w:tcMar>
            <w:vAlign w:val="center"/>
          </w:tcPr>
          <w:p>
            <w:r>
              <w:rPr>
                <w:rFonts w:ascii="Arial" w:cs="Arial" w:eastAsia="Arial" w:hAnsi="Arial"/>
                <w:sz w:val="18"/>
                <w:szCs w:val="18"/>
              </w:rPr>
              <w:t xml:space="preserve">UI specification for frontend development</w:t>
            </w:r>
          </w:p>
        </w:tc>
      </w:tr>
      <w:tr>
        <w:tc>
          <w:tcPr>
            <w:tcW w:type="dxa" w:w="340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b/>
                <w:bCs/>
                <w:sz w:val="18"/>
                <w:szCs w:val="18"/>
              </w:rPr>
              <w:t xml:space="preserve">Neon_Data_Model.jsx</w:t>
            </w:r>
          </w:p>
        </w:tc>
        <w:tc>
          <w:tcPr>
            <w:tcW w:type="dxa" w:w="604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sz w:val="18"/>
                <w:szCs w:val="18"/>
              </w:rPr>
              <w:t xml:space="preserve">Interactive schema browser: 9 tables, 3 schemas, entity relationships, sample DDL with triggers and materialized views</w:t>
            </w:r>
          </w:p>
        </w:tc>
        <w:tc>
          <w:tcPr>
            <w:tcW w:type="dxa" w:w="4000"/>
            <w:tcBorders>
              <w:top w:val="single" w:color="B0C4DE" w:sz="1"/>
              <w:left w:val="single" w:color="B0C4DE" w:sz="1"/>
              <w:bottom w:val="single" w:color="B0C4DE" w:sz="1"/>
              <w:right w:val="single" w:color="B0C4DE" w:sz="1"/>
            </w:tcBorders>
            <w:tcMar>
              <w:top w:type="dxa" w:w="60"/>
              <w:left w:type="dxa" w:w="100"/>
              <w:bottom w:type="dxa" w:w="60"/>
              <w:right w:type="dxa" w:w="100"/>
            </w:tcMar>
            <w:vAlign w:val="center"/>
          </w:tcPr>
          <w:p>
            <w:r>
              <w:rPr>
                <w:rFonts w:ascii="Arial" w:cs="Arial" w:eastAsia="Arial" w:hAnsi="Arial"/>
                <w:sz w:val="18"/>
                <w:szCs w:val="18"/>
              </w:rPr>
              <w:t xml:space="preserve">Database specification for Neon implementation</w:t>
            </w:r>
          </w:p>
        </w:tc>
      </w:tr>
    </w:tbl>
    <w:sectPr>
      <w:headerReference w:type="default" r:id="rId6"/>
      <w:footerReference w:type="default" r:id="rId7"/>
      <w:pgSz w:w="15840" w:h="12240" w:orient="landscape"/>
      <w:pgMar w:top="1000" w:right="1200" w:bottom="10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M&amp;A Integration Engine — PRD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0F1B2D"/>
      <w:sz w:val="32"/>
      <w:szCs w:val="32"/>
    </w:rPr>
  </w:style>
  <w:style w:type="paragraph" w:styleId="Heading2">
    <w:name w:val="Heading 2"/>
    <w:basedOn w:val="Normal"/>
    <w:next w:val="Normal"/>
    <w:qFormat/>
    <w:pPr>
      <w:spacing w:before="240" w:after="160"/>
      <w:outlineLvl w:val="1"/>
    </w:pPr>
    <w:rPr>
      <w:rFonts w:ascii="Arial" w:cs="Arial" w:eastAsia="Arial" w:hAnsi="Arial"/>
      <w:b/>
      <w:bCs/>
      <w:color w:val="2D4A7A"/>
      <w:sz w:val="26"/>
      <w:szCs w:val="26"/>
    </w:rPr>
  </w:style>
  <w:style w:type="paragraph" w:styleId="Heading3">
    <w:name w:val="Heading 3"/>
    <w:basedOn w:val="Normal"/>
    <w:next w:val="Normal"/>
    <w:qFormat/>
    <w:pPr>
      <w:spacing w:before="200" w:after="120"/>
      <w:outlineLvl w:val="2"/>
    </w:pPr>
    <w:rPr>
      <w:rFonts w:ascii="Arial" w:cs="Arial" w:eastAsia="Arial" w:hAnsi="Arial"/>
      <w:b/>
      <w:bCs/>
      <w:color w:val="1E3A5F"/>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2026-02-19T11:49:30.890Z</dcterms:created>
  <dcterms:modified xsi:type="dcterms:W3CDTF">2026-02-19T11:49:30.891Z</dcterms:modified>
</cp:coreProperties>
</file>

<file path=docProps/custom.xml><?xml version="1.0" encoding="utf-8"?>
<Properties xmlns="http://schemas.openxmlformats.org/officeDocument/2006/custom-properties" xmlns:vt="http://schemas.openxmlformats.org/officeDocument/2006/docPropsVTypes"/>
</file>