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esume-0.odttf" ContentType="application/vnd.openxmlformats-officedocument.obfuscatedFont"/>
  <Override PartName="/word/fonts/resume-1.odttf" ContentType="application/vnd.openxmlformats-officedocument.obfuscatedFont"/>
  <Override PartName="/word/fonts/resume-2.odttf" ContentType="application/vnd.openxmlformats-officedocument.obfuscatedFont"/>
  <Override PartName="/word/fonts/resume-3.odttf" ContentType="application/vnd.openxmlformats-officedocument.obfuscatedFont"/>
  <Override PartName="/word/fonts/resume-4.odttf" ContentType="application/vnd.openxmlformats-officedocument.obfuscatedFont"/>
  <Override PartName="/word/fonts/resume-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6768"/>
        <w:gridCol w:w="3888"/>
      </w:tblGrid>
      <w:tr>
        <w:trPr>
          <w:cantSplit/>
        </w:trPr>
        <w:tc>
          <w:tcPr>
            <w:tcW w:type="dxa" w:w="6768"/>
            <w:vAlign w:val="top"/>
          </w:tcPr>
          <w:p>
            <w:pPr>
              <w:pStyle w:val="Heading1"/>
              <w:spacing w:after="0"/>
            </w:pPr>
            <w:r>
              <w:t>Henry Perkins</w:t>
            </w:r>
          </w:p>
          <w:p>
            <w:pPr>
              <w:pStyle w:val="ResumeRole"/>
            </w:pPr>
            <w:r>
              <w:t>WORDPRESS SUPPORT ENGINEER</w:t>
            </w:r>
          </w:p>
        </w:tc>
        <w:tc>
          <w:tcPr>
            <w:tcW w:type="dxa" w:w="3888"/>
            <w:vAlign w:val="top"/>
          </w:tcPr>
          <w:p>
            <w:pPr>
              <w:pStyle w:val="ResumeContact"/>
              <w:spacing w:after="0"/>
              <w:jc w:val="right"/>
            </w:pPr>
            <w:r>
              <w:t>Chicago, IL</w:t>
              <w:br/>
            </w:r>
            <w:hyperlink r:id="rId9" w:history="1">
              <w:r>
                <w:rPr>
                  <w:color w:val="2C4D63"/>
                  <w:u w:val="single"/>
                </w:rPr>
                <w:t>htperkins@gmail.com</w:t>
              </w:r>
            </w:hyperlink>
            <w:r>
              <w:br/>
            </w:r>
            <w:hyperlink r:id="rId10" w:history="1">
              <w:r>
                <w:rPr>
                  <w:color w:val="2C4D63"/>
                  <w:u w:val="single"/>
                </w:rPr>
                <w:t>hperkins.blog</w:t>
              </w:r>
            </w:hyperlink>
            <w:r>
              <w:br/>
            </w:r>
            <w:hyperlink r:id="rId11" w:history="1">
              <w:r>
                <w:rPr>
                  <w:color w:val="2C4D63"/>
                  <w:u w:val="single"/>
                </w:rPr>
                <w:t>github.com/henryperkins</w:t>
              </w:r>
            </w:hyperlink>
          </w:p>
        </w:tc>
      </w:tr>
    </w:tbl>
    <w:p>
      <w:pPr>
        <w:spacing w:line="20" w:lineRule="exact" w:after="120"/>
        <w:pBdr>
          <w:bottom w:val="single" w:sz="4" w:space="4" w:color="6E531B"/>
        </w:pBdr>
      </w:pPr>
    </w:p>
    <w:p>
      <w:pPr>
        <w:spacing w:after="80"/>
      </w:pPr>
      <w:r>
        <w:t>WordPress · Gutenberg · REST/HTTP/DNS · Defect reproduction · Fix validation · Customer communication</w:t>
      </w:r>
    </w:p>
    <w:p>
      <w:pPr>
        <w:spacing w:after="80"/>
      </w:pPr>
      <w:r>
        <w:t>WordPress support professional with prior WordPress.com support experience, current independent client delivery, and upstream WordPress contributions. Reproduces defects, tests fixes, and reports findings to customers and engineering.</w:t>
      </w:r>
    </w:p>
    <w:p>
      <w:pPr>
        <w:pStyle w:val="ResumeEvent"/>
      </w:pPr>
      <w:r>
        <w:t>WORDCAMP US 2026 — Phoenix · Staffed the Core AI booth, walking maintainers and agency developers through AI provider tooling</w:t>
      </w:r>
    </w:p>
    <w:p>
      <w:pPr>
        <w:pStyle w:val="Heading2"/>
        <w:pBdr>
          <w:bottom w:val="single" w:sz="4" w:space="4" w:color="6E531B"/>
        </w:pBdr>
      </w:pPr>
      <w: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344"/>
        <w:gridCol w:w="3312"/>
      </w:tblGrid>
      <w:tr>
        <w:trPr>
          <w:cantSplit/>
        </w:trPr>
        <w:tc>
          <w:tcPr>
            <w:tcW w:type="dxa" w:w="7344"/>
            <w:vAlign w:val="top"/>
          </w:tcPr>
          <w:p>
            <w:pPr>
              <w:pStyle w:val="ResumeEntry"/>
              <w:spacing w:after="0"/>
            </w:pPr>
            <w:r>
              <w:rPr>
                <w:b/>
              </w:rPr>
              <w:t>Lakefront Digital</w:t>
            </w:r>
            <w:r>
              <w:t xml:space="preserve"> — </w:t>
            </w:r>
            <w:r>
              <w:rPr>
                <w:i/>
              </w:rPr>
              <w:t>Independent Technology Consultant</w:t>
            </w:r>
          </w:p>
        </w:tc>
        <w:tc>
          <w:tcPr>
            <w:tcW w:type="dxa" w:w="3312"/>
            <w:vAlign w:val="top"/>
          </w:tcPr>
          <w:p>
            <w:pPr>
              <w:pStyle w:val="ResumeMetadata"/>
              <w:spacing w:after="0"/>
              <w:jc w:val="right"/>
            </w:pPr>
            <w:r>
              <w:t>Chicago, remote</w:t>
              <w:br/>
              <w:t>Oct 2022–Present</w:t>
            </w:r>
          </w:p>
        </w:tc>
      </w:tr>
    </w:tbl>
    <w:p>
      <w:pPr>
        <w:pStyle w:val="ResumeBody"/>
      </w:pPr>
      <w:r>
        <w:rPr>
          <w:b/>
        </w:rPr>
        <w:t xml:space="preserve">Delivery scope — </w:t>
      </w:r>
      <w:r>
        <w:t>WordPress builds, API integrations, and documentation from discovery through post-launch support.</w:t>
      </w:r>
    </w:p>
    <w:p>
      <w:pPr>
        <w:pStyle w:val="ResumeBody"/>
      </w:pPr>
      <w:r>
        <w:rPr>
          <w:b/>
        </w:rPr>
        <w:t xml:space="preserve">Client launch — </w:t>
      </w:r>
      <w:r>
        <w:t xml:space="preserve">Delivered </w:t>
      </w:r>
      <w:hyperlink r:id="rId12" w:history="1">
        <w:r>
          <w:rPr>
            <w:color w:val="2C4D63"/>
            <w:u w:val="single"/>
          </w:rPr>
          <w:t>DJ Lee &amp; Voices of Judah</w:t>
        </w:r>
      </w:hyperlink>
      <w:r>
        <w:t xml:space="preserve">’s booking-focused website from discovery through launch, including server-side booking validation and </w:t>
      </w:r>
      <w:hyperlink r:id="rId13" w:history="1">
        <w:r>
          <w:rPr>
            <w:color w:val="2C4D63"/>
            <w:u w:val="single"/>
          </w:rPr>
          <w:t>publicly available source code</w:t>
        </w:r>
      </w:hyperlink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344"/>
        <w:gridCol w:w="3312"/>
      </w:tblGrid>
      <w:tr>
        <w:trPr>
          <w:cantSplit/>
        </w:trPr>
        <w:tc>
          <w:tcPr>
            <w:tcW w:type="dxa" w:w="7344"/>
            <w:vAlign w:val="top"/>
          </w:tcPr>
          <w:p>
            <w:pPr>
              <w:pStyle w:val="ResumeEntry"/>
              <w:spacing w:after="0"/>
            </w:pPr>
            <w:r>
              <w:rPr>
                <w:b/>
              </w:rPr>
              <w:t>Automattic</w:t>
            </w:r>
            <w:r>
              <w:t xml:space="preserve"> — </w:t>
            </w:r>
            <w:r>
              <w:rPr>
                <w:i/>
              </w:rPr>
              <w:t>Happiness Engineer</w:t>
            </w:r>
          </w:p>
        </w:tc>
        <w:tc>
          <w:tcPr>
            <w:tcW w:type="dxa" w:w="3312"/>
            <w:vAlign w:val="top"/>
          </w:tcPr>
          <w:p>
            <w:pPr>
              <w:pStyle w:val="ResumeMetadata"/>
              <w:spacing w:after="0"/>
              <w:jc w:val="right"/>
            </w:pPr>
            <w:r>
              <w:t>WordPress.com · Remote</w:t>
              <w:br/>
              <w:t>Oct–Nov 2012</w:t>
            </w:r>
          </w:p>
        </w:tc>
      </w:tr>
    </w:tbl>
    <w:p>
      <w:pPr>
        <w:pStyle w:val="ResumeBody"/>
      </w:pPr>
      <w:r>
        <w:t>Resolved WordPress.com issues across publishing, configuration, billing, domains, and DNS, turning recurring problems into documentation and reproducible bug reports for customers, product, and engineering.</w:t>
      </w:r>
    </w:p>
    <w:p>
      <w:pPr>
        <w:pStyle w:val="Heading2"/>
        <w:pBdr>
          <w:bottom w:val="single" w:sz="4" w:space="4" w:color="6E531B"/>
        </w:pBdr>
      </w:pPr>
      <w:r>
        <w:t>SELECTED WORDPRESS INVESTIGATIONS &amp; CONTRIBUTIONS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216"/>
        <w:gridCol w:w="1440"/>
      </w:tblGrid>
      <w:tr>
        <w:trPr>
          <w:cantSplit/>
        </w:trPr>
        <w:tc>
          <w:tcPr>
            <w:tcW w:type="dxa" w:w="9216"/>
            <w:vAlign w:val="top"/>
            <w:tcMar>
              <w:right w:w="160" w:type="dxa"/>
            </w:tcMar>
          </w:tcPr>
          <w:p>
            <w:pPr>
              <w:pStyle w:val="ResumeBody"/>
              <w:spacing w:after="70"/>
            </w:pPr>
            <w:r>
              <w:rPr>
                <w:b/>
              </w:rPr>
              <w:t xml:space="preserve">Defect reproduction — </w:t>
            </w:r>
            <w:r>
              <w:t>Reported and reproduced a WordPress AI Guidelines defect (</w:t>
            </w:r>
            <w:hyperlink r:id="rId14" w:history="1">
              <w:r>
                <w:rPr>
                  <w:color w:val="2C4D63"/>
                  <w:u w:val="single"/>
                </w:rPr>
                <w:t>Issue #529</w:t>
              </w:r>
            </w:hyperlink>
            <w:r>
              <w:t xml:space="preserve">): an artifact guideline could shadow the content guideline. A maintainer’s fix, </w:t>
            </w:r>
            <w:hyperlink r:id="rId15" w:history="1">
              <w:r>
                <w:rPr>
                  <w:color w:val="2C4D63"/>
                  <w:u w:val="single"/>
                </w:rPr>
                <w:t>PR #593</w:t>
              </w:r>
            </w:hyperlink>
            <w:r>
              <w:t xml:space="preserve">, shipped in </w:t>
            </w:r>
            <w:hyperlink r:id="rId16" w:history="1">
              <w:r>
                <w:rPr>
                  <w:color w:val="2C4D63"/>
                  <w:u w:val="single"/>
                </w:rPr>
                <w:t>WordPress AI 1.0.1</w:t>
              </w:r>
            </w:hyperlink>
            <w:r>
              <w:t>.</w:t>
            </w:r>
          </w:p>
        </w:tc>
        <w:tc>
          <w:tcPr>
            <w:tcW w:type="dxa" w:w="1440"/>
            <w:vAlign w:val="top"/>
          </w:tcPr>
          <w:p>
            <w:pPr>
              <w:pStyle w:val="ResumeMetadata"/>
              <w:spacing w:after="0"/>
              <w:jc w:val="right"/>
            </w:pPr>
            <w:r>
              <w:t>FIX SHIPPED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216"/>
        <w:gridCol w:w="1440"/>
      </w:tblGrid>
      <w:tr>
        <w:trPr>
          <w:cantSplit/>
        </w:trPr>
        <w:tc>
          <w:tcPr>
            <w:tcW w:type="dxa" w:w="9216"/>
            <w:vAlign w:val="top"/>
            <w:tcMar>
              <w:right w:w="160" w:type="dxa"/>
            </w:tcMar>
          </w:tcPr>
          <w:p>
            <w:pPr>
              <w:pStyle w:val="ResumeBody"/>
              <w:spacing w:after="70"/>
            </w:pPr>
            <w:r>
              <w:rPr>
                <w:b/>
              </w:rPr>
              <w:t xml:space="preserve">Fix validation — </w:t>
            </w:r>
            <w:r>
              <w:t>Reported a WordPress AI request-logging gap (</w:t>
            </w:r>
            <w:hyperlink r:id="rId17" w:history="1">
              <w:r>
                <w:rPr>
                  <w:color w:val="2C4D63"/>
                  <w:u w:val="single"/>
                </w:rPr>
                <w:t>Issue #732</w:t>
              </w:r>
            </w:hyperlink>
            <w:r>
              <w:t>); integration-tested Anubhav Anand’s proposed fix (</w:t>
            </w:r>
            <w:hyperlink r:id="rId18" w:history="1">
              <w:r>
                <w:rPr>
                  <w:color w:val="2C4D63"/>
                  <w:u w:val="single"/>
                </w:rPr>
                <w:t>PR #757</w:t>
              </w:r>
            </w:hyperlink>
            <w:r>
              <w:t>, open), found duplicate successes and missing failures, and proposed the ownership split.</w:t>
            </w:r>
          </w:p>
        </w:tc>
        <w:tc>
          <w:tcPr>
            <w:tcW w:type="dxa" w:w="1440"/>
            <w:vAlign w:val="top"/>
          </w:tcPr>
          <w:p>
            <w:pPr>
              <w:pStyle w:val="ResumeMetadata"/>
              <w:spacing w:after="0"/>
              <w:jc w:val="right"/>
            </w:pPr>
            <w:r>
              <w:t>OPEN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216"/>
        <w:gridCol w:w="1440"/>
      </w:tblGrid>
      <w:tr>
        <w:trPr>
          <w:cantSplit/>
        </w:trPr>
        <w:tc>
          <w:tcPr>
            <w:tcW w:type="dxa" w:w="9216"/>
            <w:vAlign w:val="top"/>
            <w:tcMar>
              <w:right w:w="160" w:type="dxa"/>
            </w:tcMar>
          </w:tcPr>
          <w:p>
            <w:pPr>
              <w:pStyle w:val="ResumeBody"/>
              <w:spacing w:after="70"/>
            </w:pPr>
            <w:r>
              <w:rPr>
                <w:b/>
              </w:rPr>
              <w:t xml:space="preserve">Documentation — </w:t>
            </w:r>
            <w:r>
              <w:t xml:space="preserve">Wrote and refined the Content Resizing and Title Generation experiment documentation in </w:t>
            </w:r>
            <w:hyperlink r:id="rId19" w:history="1">
              <w:r>
                <w:rPr>
                  <w:color w:val="2C4D63"/>
                  <w:u w:val="single"/>
                </w:rPr>
                <w:t>WordPress/ai PR #501</w:t>
              </w:r>
            </w:hyperlink>
            <w:r>
              <w:t>; merged May 18, 2026 and credited in the 1.0.0 release notes.</w:t>
            </w:r>
          </w:p>
        </w:tc>
        <w:tc>
          <w:tcPr>
            <w:tcW w:type="dxa" w:w="1440"/>
            <w:vAlign w:val="top"/>
          </w:tcPr>
          <w:p>
            <w:pPr>
              <w:pStyle w:val="ResumeMetadata"/>
              <w:spacing w:after="0"/>
              <w:jc w:val="right"/>
            </w:pPr>
            <w:r>
              <w:t>MERGED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216"/>
        <w:gridCol w:w="1440"/>
      </w:tblGrid>
      <w:tr>
        <w:trPr>
          <w:cantSplit/>
        </w:trPr>
        <w:tc>
          <w:tcPr>
            <w:tcW w:type="dxa" w:w="9216"/>
            <w:vAlign w:val="top"/>
            <w:tcMar>
              <w:right w:w="160" w:type="dxa"/>
            </w:tcMar>
          </w:tcPr>
          <w:p>
            <w:pPr>
              <w:pStyle w:val="ResumeBody"/>
              <w:spacing w:after="70"/>
            </w:pPr>
            <w:r>
              <w:rPr>
                <w:b/>
              </w:rPr>
              <w:t xml:space="preserve">Compatibility fix — </w:t>
            </w:r>
            <w:r>
              <w:t xml:space="preserve">Directed and reviewed an AI-assisted fix so the OpenAI provider advertises sampling options only for models that accept them, with tests: </w:t>
            </w:r>
            <w:hyperlink r:id="rId20" w:history="1">
              <w:r>
                <w:rPr>
                  <w:color w:val="2C4D63"/>
                  <w:u w:val="single"/>
                </w:rPr>
                <w:t>WordPress/ai-provider-for-openai PR #40</w:t>
              </w:r>
            </w:hyperlink>
            <w:r>
              <w:t>, merged Aug 16, 2026.</w:t>
            </w:r>
          </w:p>
        </w:tc>
        <w:tc>
          <w:tcPr>
            <w:tcW w:type="dxa" w:w="1440"/>
            <w:vAlign w:val="top"/>
          </w:tcPr>
          <w:p>
            <w:pPr>
              <w:pStyle w:val="ResumeMetadata"/>
              <w:spacing w:after="0"/>
              <w:jc w:val="right"/>
            </w:pPr>
            <w:r>
              <w:t>MERGED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216"/>
        <w:gridCol w:w="1440"/>
      </w:tblGrid>
      <w:tr>
        <w:trPr>
          <w:cantSplit/>
        </w:trPr>
        <w:tc>
          <w:tcPr>
            <w:tcW w:type="dxa" w:w="9216"/>
            <w:vAlign w:val="top"/>
            <w:tcMar>
              <w:right w:w="160" w:type="dxa"/>
            </w:tcMar>
          </w:tcPr>
          <w:p>
            <w:pPr>
              <w:pStyle w:val="ResumeBody"/>
              <w:spacing w:after="70"/>
            </w:pPr>
            <w:r>
              <w:rPr>
                <w:b/>
              </w:rPr>
              <w:t xml:space="preserve">Input validation — </w:t>
            </w:r>
            <w:r>
              <w:t xml:space="preserve">Directed and reviewed an AI-assisted contribution that rejects NAN and infinite embedding values, with a regression test for each: </w:t>
            </w:r>
            <w:hyperlink r:id="rId21" w:history="1">
              <w:r>
                <w:rPr>
                  <w:color w:val="2C4D63"/>
                  <w:u w:val="single"/>
                </w:rPr>
                <w:t>WordPress/php-ai-client PR #263</w:t>
              </w:r>
            </w:hyperlink>
            <w:r>
              <w:t>, open contribution.</w:t>
            </w:r>
          </w:p>
        </w:tc>
        <w:tc>
          <w:tcPr>
            <w:tcW w:type="dxa" w:w="1440"/>
            <w:vAlign w:val="top"/>
          </w:tcPr>
          <w:p>
            <w:pPr>
              <w:pStyle w:val="ResumeMetadata"/>
              <w:spacing w:after="0"/>
              <w:jc w:val="right"/>
            </w:pPr>
            <w:r>
              <w:t>OPEN</w:t>
            </w:r>
          </w:p>
        </w:tc>
      </w:tr>
    </w:tbl>
    <w:p>
      <w:pPr>
        <w:pStyle w:val="Heading2"/>
        <w:pBdr>
          <w:bottom w:val="single" w:sz="4" w:space="4" w:color="6E531B"/>
        </w:pBdr>
      </w:pPr>
      <w:r>
        <w:t>SELECTED PROJECTS</w:t>
      </w:r>
    </w:p>
    <w:p>
      <w:pPr>
        <w:pStyle w:val="ResumeBody"/>
      </w:pPr>
      <w:r>
        <w:t>Independent projects developed with AI assistance under my direction and review; public tagged releases.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344"/>
        <w:gridCol w:w="3312"/>
      </w:tblGrid>
      <w:tr>
        <w:trPr>
          <w:cantSplit/>
        </w:trPr>
        <w:tc>
          <w:tcPr>
            <w:tcW w:type="dxa" w:w="7344"/>
            <w:vAlign w:val="top"/>
          </w:tcPr>
          <w:p>
            <w:pPr>
              <w:pStyle w:val="ResumeEntry"/>
              <w:spacing w:after="0"/>
            </w:pPr>
            <w:r>
              <w:rPr>
                <w:b/>
              </w:rPr>
              <w:t>Flavor Agent</w:t>
            </w:r>
            <w:r>
              <w:t xml:space="preserve"> — </w:t>
            </w:r>
            <w:r>
              <w:rPr>
                <w:i/>
              </w:rPr>
              <w:t>Creator · WordPress agent-governance plugin</w:t>
            </w:r>
          </w:p>
        </w:tc>
        <w:tc>
          <w:tcPr>
            <w:tcW w:type="dxa" w:w="3312"/>
            <w:vAlign w:val="top"/>
          </w:tcPr>
          <w:p>
            <w:pPr>
              <w:pStyle w:val="ResumeMetadata"/>
              <w:spacing w:after="0"/>
              <w:jc w:val="right"/>
            </w:pPr>
            <w:r>
              <w:t xml:space="preserve">Released </w:t>
            </w:r>
            <w:hyperlink r:id="rId22" w:history="1">
              <w:r>
                <w:rPr>
                  <w:color w:val="2C4D63"/>
                  <w:u w:val="single"/>
                </w:rPr>
                <w:t>v0.1.0</w:t>
              </w:r>
            </w:hyperlink>
            <w:r>
              <w:br/>
              <w:t>Aug 26, 2026</w:t>
            </w:r>
          </w:p>
        </w:tc>
      </w:tr>
    </w:tbl>
    <w:p>
      <w:pPr>
        <w:pStyle w:val="ResumeBody"/>
      </w:pPr>
      <w:r>
        <w:t>Provides validation, admin approval, audit records, and undo workflows for supported AI-proposed WordPress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344"/>
        <w:gridCol w:w="3312"/>
      </w:tblGrid>
      <w:tr>
        <w:trPr>
          <w:cantSplit/>
        </w:trPr>
        <w:tc>
          <w:tcPr>
            <w:tcW w:type="dxa" w:w="7344"/>
            <w:vAlign w:val="top"/>
          </w:tcPr>
          <w:p>
            <w:pPr>
              <w:pStyle w:val="ResumeEntry"/>
              <w:spacing w:after="0"/>
            </w:pPr>
            <w:r>
              <w:rPr>
                <w:b/>
              </w:rPr>
              <w:t>AI Provider for Codex</w:t>
            </w:r>
            <w:r>
              <w:t xml:space="preserve"> — </w:t>
            </w:r>
            <w:r>
              <w:rPr>
                <w:i/>
              </w:rPr>
              <w:t>Creator · independent WordPress plugin</w:t>
            </w:r>
          </w:p>
        </w:tc>
        <w:tc>
          <w:tcPr>
            <w:tcW w:type="dxa" w:w="3312"/>
            <w:vAlign w:val="top"/>
          </w:tcPr>
          <w:p>
            <w:pPr>
              <w:pStyle w:val="ResumeMetadata"/>
              <w:spacing w:after="0"/>
              <w:jc w:val="right"/>
            </w:pPr>
            <w:r>
              <w:t xml:space="preserve">Released </w:t>
            </w:r>
            <w:hyperlink r:id="rId23" w:history="1">
              <w:r>
                <w:rPr>
                  <w:color w:val="2C4D63"/>
                  <w:u w:val="single"/>
                </w:rPr>
                <w:t>v2.1</w:t>
              </w:r>
            </w:hyperlink>
          </w:p>
        </w:tc>
      </w:tr>
    </w:tbl>
    <w:p>
      <w:pPr>
        <w:pStyle w:val="ResumeBody"/>
      </w:pPr>
      <w:r>
        <w:t>Connects Codex text and image generation to the WordPress AI Client through a local sidecar.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344"/>
        <w:gridCol w:w="3312"/>
      </w:tblGrid>
      <w:tr>
        <w:trPr>
          <w:cantSplit/>
        </w:trPr>
        <w:tc>
          <w:tcPr>
            <w:tcW w:type="dxa" w:w="7344"/>
            <w:vAlign w:val="top"/>
          </w:tcPr>
          <w:p>
            <w:pPr>
              <w:pStyle w:val="ResumeEntry"/>
              <w:spacing w:after="0"/>
            </w:pPr>
            <w:r>
              <w:rPr>
                <w:b/>
              </w:rPr>
              <w:t>HPerkins Tokens</w:t>
            </w:r>
            <w:r>
              <w:t xml:space="preserve"> — </w:t>
            </w:r>
            <w:r>
              <w:rPr>
                <w:i/>
              </w:rPr>
              <w:t>Creator · WordPress block theme behind hperkins.blog</w:t>
            </w:r>
          </w:p>
        </w:tc>
        <w:tc>
          <w:tcPr>
            <w:tcW w:type="dxa" w:w="3312"/>
            <w:vAlign w:val="top"/>
          </w:tcPr>
          <w:p>
            <w:pPr>
              <w:pStyle w:val="ResumeMetadata"/>
              <w:spacing w:after="0"/>
              <w:jc w:val="right"/>
            </w:pPr>
            <w:r>
              <w:t xml:space="preserve">Released </w:t>
            </w:r>
            <w:hyperlink r:id="rId24" w:history="1">
              <w:r>
                <w:rPr>
                  <w:color w:val="2C4D63"/>
                  <w:u w:val="single"/>
                </w:rPr>
                <w:t>v0.3.53</w:t>
              </w:r>
            </w:hyperlink>
          </w:p>
        </w:tc>
      </w:tr>
    </w:tbl>
    <w:p>
      <w:pPr>
        <w:pStyle w:val="ResumeBody"/>
      </w:pPr>
      <w:hyperlink r:id="rId10" w:history="1">
        <w:r>
          <w:rPr>
            <w:color w:val="2C4D63"/>
            <w:u w:val="single"/>
          </w:rPr>
          <w:t>hperkins.blog</w:t>
        </w:r>
      </w:hyperlink>
      <w:r>
        <w:t>. WordPress block theme with token-based editor controls and verifier scripts for content, typography, and accessibility checks.</w:t>
      </w:r>
    </w:p>
    <w:p>
      <w:pPr>
        <w:pStyle w:val="Heading2"/>
        <w:pBdr>
          <w:bottom w:val="single" w:sz="4" w:space="4" w:color="6E531B"/>
        </w:pBdr>
      </w:pPr>
      <w:r>
        <w:t>TECHNICAL SKILLS &amp; ADDITIONAL EXPERIENCE</w:t>
      </w:r>
    </w:p>
    <w:p>
      <w:pPr>
        <w:pStyle w:val="ResumeBody"/>
      </w:pPr>
      <w:r>
        <w:rPr>
          <w:b/>
        </w:rPr>
        <w:t xml:space="preserve">Code investigation and review: </w:t>
      </w:r>
      <w:r>
        <w:t xml:space="preserve">PHP, JavaScript, Gutenberg, REST API, WP-CLI · </w:t>
      </w:r>
      <w:r>
        <w:rPr>
          <w:b/>
        </w:rPr>
        <w:t xml:space="preserve">Support: </w:t>
      </w:r>
      <w:r>
        <w:t xml:space="preserve">HTTP, DNS, CSS, browser debugging, escalation triage · </w:t>
      </w:r>
      <w:r>
        <w:rPr>
          <w:b/>
        </w:rPr>
        <w:t xml:space="preserve">Tooling: </w:t>
      </w:r>
      <w:r>
        <w:t>Git/GitHub, GitHub Actions, Plugin Check, PHPStan, Cloudflare Workers.</w:t>
      </w:r>
    </w:p>
    <w:p>
      <w:pPr>
        <w:pStyle w:val="ResumeBody"/>
      </w:pPr>
      <w:r>
        <w:rPr>
          <w:b/>
        </w:rPr>
        <w:t xml:space="preserve">Developer community — </w:t>
      </w:r>
      <w:r>
        <w:t>PageLines Developer Community Manager (May–Oct 2012): onboarding content, tutorials, and day-to-day developer relations, turning community feedback into clearer product guidance.</w:t>
      </w:r>
    </w:p>
    <w:p>
      <w:pPr>
        <w:pStyle w:val="ResumeBody"/>
      </w:pPr>
      <w:r>
        <w:rPr>
          <w:b/>
        </w:rPr>
        <w:t xml:space="preserve">Customer and operations roles — </w:t>
      </w:r>
      <w:r>
        <w:t>Starbucks Shift Supervisor (2019–2022); Sodexo Starbucks Manager (2018–2019); Clinique Consultant (2015–2017); Micro Center Customer Service/Sales (2009–2012).</w:t>
      </w:r>
    </w:p>
    <w:sectPr w:rsidR="00FC693F" w:rsidRPr="0006063C" w:rsidSect="00034616">
      <w:pgSz w:w="12240" w:h="15840"/>
      <w:pgMar w:top="691" w:right="792" w:bottom="691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Perkins Cormorant Garamond">
    <w:embedRegular r:id="rId1" w:fontKey="{C5E47E12-85ED-5D36-B316-9393292A97C7}" w:subsetted="0"/>
  </w:font>
  <w:font w:name="HPerkins Marcellus">
    <w:embedRegular r:id="rId2" w:fontKey="{42AA98FB-FAE3-5F2F-9262-9CB7C18969E1}" w:subsetted="0"/>
  </w:font>
  <w:font w:name="HPerkins EB Garamond">
    <w:embedRegular r:id="rId3" w:fontKey="{7EAFDB98-AB85-519D-857D-F4790F2E43CF}" w:subsetted="0"/>
    <w:embedBold r:id="rId4" w:fontKey="{9060F780-B566-5C49-A28E-3B15174CB2D9}" w:subsetted="0"/>
    <w:embedItalic r:id="rId5" w:fontKey="{A179733B-D35D-56B9-859B-9FD507F44259}" w:subsetted="0"/>
  </w:font>
  <w:font w:name="HPerkins JetBrains Mono">
    <w:embedRegular r:id="rId6" w:fontKey="{B4786EFD-B5AC-5FF2-BC21-15B3AE2A8E60}" w:subsetted="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before="0" w:after="50" w:line="256" w:lineRule="exact"/>
    </w:pPr>
    <w:rPr>
      <w:rFonts w:ascii="HPerkins EB Garamond" w:hAnsi="HPerkins EB Garamond" w:eastAsia="HPerkins EB Garamond" w:cs="HPerkins EB Garamond"/>
      <w:b w:val="0"/>
      <w:i w:val="0"/>
      <w:color w:val="313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60" w:line="680" w:lineRule="exact"/>
      <w:outlineLvl w:val="0"/>
    </w:pPr>
    <w:rPr>
      <w:rFonts w:ascii="HPerkins Cormorant Garamond" w:hAnsi="HPerkins Cormorant Garamond" w:eastAsia="HPerkins Cormorant Garamond" w:cs="HPerkins Cormorant Garamond"/>
      <w:b w:val="0"/>
      <w:bCs/>
      <w:i w:val="0"/>
      <w:color w:val="1B231D"/>
      <w:sz w:val="6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60" w:line="230" w:lineRule="exact"/>
      <w:outlineLvl w:val="1"/>
    </w:pPr>
    <w:rPr>
      <w:rFonts w:ascii="HPerkins Marcellus" w:hAnsi="HPerkins Marcellus" w:eastAsia="HPerkins Marcellus" w:cs="HPerkins Marcellus"/>
      <w:b w:val="0"/>
      <w:bCs/>
      <w:i w:val="0"/>
      <w:color w:val="6E531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ody">
    <w:name w:val="Resume Body"/>
    <w:basedOn w:val="Normal"/>
    <w:pPr>
      <w:keepLines/>
      <w:widowControl/>
      <w:spacing w:before="0" w:after="50" w:line="256" w:lineRule="exact"/>
    </w:pPr>
    <w:rPr>
      <w:rFonts w:ascii="HPerkins EB Garamond" w:hAnsi="HPerkins EB Garamond" w:eastAsia="HPerkins EB Garamond" w:cs="HPerkins EB Garamond"/>
      <w:b w:val="0"/>
      <w:i w:val="0"/>
      <w:color w:val="313B33"/>
      <w:sz w:val="22"/>
    </w:rPr>
  </w:style>
  <w:style w:type="paragraph" w:customStyle="1" w:styleId="ResumeEntry">
    <w:name w:val="Resume Entry"/>
    <w:basedOn w:val="Normal"/>
    <w:pPr>
      <w:keepNext/>
      <w:keepLines/>
      <w:widowControl/>
      <w:spacing w:before="0" w:after="50" w:line="256" w:lineRule="exact"/>
    </w:pPr>
    <w:rPr>
      <w:rFonts w:ascii="HPerkins EB Garamond" w:hAnsi="HPerkins EB Garamond" w:eastAsia="HPerkins EB Garamond" w:cs="HPerkins EB Garamond"/>
      <w:b w:val="0"/>
      <w:i w:val="0"/>
      <w:color w:val="1B231D"/>
      <w:sz w:val="22"/>
    </w:rPr>
  </w:style>
  <w:style w:type="paragraph" w:customStyle="1" w:styleId="ResumeRole">
    <w:name w:val="Resume Role"/>
    <w:basedOn w:val="Normal"/>
    <w:pPr>
      <w:keepLines/>
      <w:widowControl/>
      <w:spacing w:before="0" w:after="50" w:line="230" w:lineRule="exact"/>
    </w:pPr>
    <w:rPr>
      <w:rFonts w:ascii="HPerkins Marcellus" w:hAnsi="HPerkins Marcellus" w:eastAsia="HPerkins Marcellus" w:cs="HPerkins Marcellus"/>
      <w:b w:val="0"/>
      <w:i w:val="0"/>
      <w:color w:val="6E531B"/>
      <w:sz w:val="19"/>
    </w:rPr>
  </w:style>
  <w:style w:type="paragraph" w:customStyle="1" w:styleId="ResumeContact">
    <w:name w:val="Resume Contact"/>
    <w:basedOn w:val="Normal"/>
    <w:pPr>
      <w:keepLines/>
      <w:widowControl/>
      <w:spacing w:before="0" w:after="50" w:line="230" w:lineRule="exact"/>
    </w:pPr>
    <w:rPr>
      <w:rFonts w:ascii="HPerkins JetBrains Mono" w:hAnsi="HPerkins JetBrains Mono" w:eastAsia="HPerkins JetBrains Mono" w:cs="HPerkins JetBrains Mono"/>
      <w:b w:val="0"/>
      <w:i w:val="0"/>
      <w:color w:val="313B33"/>
      <w:sz w:val="19"/>
    </w:rPr>
  </w:style>
  <w:style w:type="paragraph" w:customStyle="1" w:styleId="ResumeMetadata">
    <w:name w:val="Resume Metadata"/>
    <w:basedOn w:val="Normal"/>
    <w:pPr>
      <w:keepLines/>
      <w:widowControl/>
      <w:spacing w:before="0" w:after="50" w:line="230" w:lineRule="exact"/>
    </w:pPr>
    <w:rPr>
      <w:rFonts w:ascii="HPerkins JetBrains Mono" w:hAnsi="HPerkins JetBrains Mono" w:eastAsia="HPerkins JetBrains Mono" w:cs="HPerkins JetBrains Mono"/>
      <w:b w:val="0"/>
      <w:i w:val="0"/>
      <w:color w:val="313B33"/>
      <w:sz w:val="19"/>
    </w:rPr>
  </w:style>
  <w:style w:type="paragraph" w:customStyle="1" w:styleId="ResumeEvent">
    <w:name w:val="Resume Event"/>
    <w:basedOn w:val="Normal"/>
    <w:pPr>
      <w:keepLines/>
      <w:widowControl/>
      <w:spacing w:before="0" w:after="60" w:line="230" w:lineRule="exact"/>
    </w:pPr>
    <w:rPr>
      <w:rFonts w:ascii="HPerkins EB Garamond" w:hAnsi="HPerkins EB Garamond" w:eastAsia="HPerkins EB Garamond" w:cs="HPerkins EB Garamond"/>
      <w:b w:val="0"/>
      <w:i/>
      <w:color w:val="313B33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htperkins@gmail.com" TargetMode="External"/><Relationship Id="rId10" Type="http://schemas.openxmlformats.org/officeDocument/2006/relationships/hyperlink" Target="https://hperkins.blog/" TargetMode="External"/><Relationship Id="rId11" Type="http://schemas.openxmlformats.org/officeDocument/2006/relationships/hyperlink" Target="https://github.com/henryperkins" TargetMode="External"/><Relationship Id="rId12" Type="http://schemas.openxmlformats.org/officeDocument/2006/relationships/hyperlink" Target="https://hperkins.blog/work/dj-lee-voices-of-judah/" TargetMode="External"/><Relationship Id="rId13" Type="http://schemas.openxmlformats.org/officeDocument/2006/relationships/hyperlink" Target="https://github.com/henryperkins/dj-judas-v2" TargetMode="External"/><Relationship Id="rId14" Type="http://schemas.openxmlformats.org/officeDocument/2006/relationships/hyperlink" Target="https://github.com/WordPress/ai/issues/529" TargetMode="External"/><Relationship Id="rId15" Type="http://schemas.openxmlformats.org/officeDocument/2006/relationships/hyperlink" Target="https://github.com/WordPress/ai/pull/593" TargetMode="External"/><Relationship Id="rId16" Type="http://schemas.openxmlformats.org/officeDocument/2006/relationships/hyperlink" Target="https://github.com/WordPress/ai/releases/tag/1.0.1" TargetMode="External"/><Relationship Id="rId17" Type="http://schemas.openxmlformats.org/officeDocument/2006/relationships/hyperlink" Target="https://github.com/WordPress/ai/issues/732" TargetMode="External"/><Relationship Id="rId18" Type="http://schemas.openxmlformats.org/officeDocument/2006/relationships/hyperlink" Target="https://github.com/WordPress/ai/pull/757" TargetMode="External"/><Relationship Id="rId19" Type="http://schemas.openxmlformats.org/officeDocument/2006/relationships/hyperlink" Target="https://github.com/WordPress/ai/pull/501" TargetMode="External"/><Relationship Id="rId20" Type="http://schemas.openxmlformats.org/officeDocument/2006/relationships/hyperlink" Target="https://github.com/WordPress/ai-provider-for-openai/pull/40" TargetMode="External"/><Relationship Id="rId21" Type="http://schemas.openxmlformats.org/officeDocument/2006/relationships/hyperlink" Target="https://github.com/WordPress/php-ai-client/pull/263" TargetMode="External"/><Relationship Id="rId22" Type="http://schemas.openxmlformats.org/officeDocument/2006/relationships/hyperlink" Target="https://github.com/henryperkins/flavor-agent/releases/tag/v0.1.0" TargetMode="External"/><Relationship Id="rId23" Type="http://schemas.openxmlformats.org/officeDocument/2006/relationships/hyperlink" Target="https://github.com/henryperkins/ai-provider-for-codex/releases/tag/v2.1" TargetMode="External"/><Relationship Id="rId24" Type="http://schemas.openxmlformats.org/officeDocument/2006/relationships/hyperlink" Target="https://github.com/henryperkins/hperkins-tokens/releases/tag/v0.3.53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esume-0.odttf"/><Relationship Id="rId2" Type="http://schemas.openxmlformats.org/officeDocument/2006/relationships/font" Target="fonts/resume-1.odttf"/><Relationship Id="rId3" Type="http://schemas.openxmlformats.org/officeDocument/2006/relationships/font" Target="fonts/resume-2.odttf"/><Relationship Id="rId4" Type="http://schemas.openxmlformats.org/officeDocument/2006/relationships/font" Target="fonts/resume-3.odttf"/><Relationship Id="rId5" Type="http://schemas.openxmlformats.org/officeDocument/2006/relationships/font" Target="fonts/resume-4.odttf"/><Relationship Id="rId6" Type="http://schemas.openxmlformats.org/officeDocument/2006/relationships/font" Target="fonts/resume-5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Henry Perkins — WordPress Support Engineer</dc:title>
  <dc:subject/>
  <dc:creator>Henry Perkins</dc:creator>
  <cp:keywords>WordPress, support engineer, Gutenberg, REST, HTTP, DNS, defect reproduction, fix validation</cp:keywords>
  <dc:description>Evidence-bounded résumé revised October 6, 2026.</dc:description>
  <cp:lastModifiedBy/>
  <cp:revision>1</cp:revision>
  <dcterms:created xsi:type="dcterms:W3CDTF">2026-10-06T00:00:00Z</dcterms:created>
  <dcterms:modified xsi:type="dcterms:W3CDTF">2026-10-06T00:00:00Z</dcterms:modified>
  <cp:category/>
</cp:coreProperties>
</file>