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Name"/>
      </w:pPr>
      <w:r>
        <w:t xml:space="preserve">Kendra Williams</w:t>
      </w:r>
    </w:p>
    <w:p>
      <w:pPr>
        <w:pStyle w:val="Contact"/>
      </w:pPr>
      <w:r>
        <w:t xml:space="preserve">Chicago, IL | kendra.williams@email.com | (312) 555-0456 | linkedin.com/in/kendrawilliams-ta</w:t>
      </w:r>
    </w:p>
    <w:p>
      <w:pPr>
        <w:pStyle w:val="SectionHeader"/>
      </w:pPr>
      <w:r>
        <w:t xml:space="preserve">Professional Summary</w:t>
      </w:r>
    </w:p>
    <w:p>
      <w:pPr>
        <w:pStyle w:val="Summary"/>
      </w:pPr>
      <w:r>
        <w:t xml:space="preserve">Talent Acquisition leader with 10 years building and scaling recruiting functions at high-growth technology companies. Built teams from 0 to 50+, implemented enterprise ATS systems, and developed employer branding strategies that reduced time-to-fill by 40%. Expert in technical recruiting, executive search, and DEI hiring initiatives.</w:t>
      </w:r>
    </w:p>
    <w:p>
      <w:pPr>
        <w:pStyle w:val="SectionHeader"/>
      </w:pPr>
      <w:r>
        <w:t xml:space="preserve">Professional Experience</w:t>
      </w:r>
    </w:p>
    <w:p>
      <w:pPr>
        <w:pStyle w:val="JobTitle"/>
      </w:pPr>
      <w:r>
        <w:t xml:space="preserve">Director of Talent Acquisition</w:t>
      </w:r>
    </w:p>
    <w:p>
      <w:pPr>
        <w:pStyle w:val="CompanyLine"/>
      </w:pPr>
      <w:r>
        <w:t xml:space="preserve">Grubhub | Chicago, IL | January 2021 - Present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Lead 18-person TA team responsible for 800+ annual hires across engineering, product, and operations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Reduced average time-to-fill from 52 days to 31 days through process optimization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Implemented Greenhouse ATS and built structured interview training program for 200+ hiring managers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Launched technical recruiting center of excellence, improving engineering offer acceptance from 65% to 82%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Partnered with C-suite on workforce planning, headcount forecasting, and talent strategy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Achieved 45% diverse slate rate across all open roles, exceeding company target of 40%</w:t>
      </w:r>
    </w:p>
    <w:p>
      <w:pPr>
        <w:pStyle w:val="JobTitle"/>
      </w:pPr>
      <w:r>
        <w:t xml:space="preserve">Senior Talent Acquisition Manager</w:t>
      </w:r>
    </w:p>
    <w:p>
      <w:pPr>
        <w:pStyle w:val="CompanyLine"/>
      </w:pPr>
      <w:r>
        <w:t xml:space="preserve">Sprout Social | Chicago, IL | March 2018 - December 2020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Built technical recruiting team from 2 to 8 recruiters during company growth from 400 to 900 employees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Developed engineering hiring playbook adopted across all technical recruiting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Managed executive search processes for VP-level and above positions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Created employer brand content strategy increasing LinkedIn followers by 150%</w:t>
      </w:r>
    </w:p>
    <w:p>
      <w:pPr>
        <w:pStyle w:val="JobTitle"/>
      </w:pPr>
      <w:r>
        <w:t xml:space="preserve">Senior Technical Recruiter</w:t>
      </w:r>
    </w:p>
    <w:p>
      <w:pPr>
        <w:pStyle w:val="CompanyLine"/>
      </w:pPr>
      <w:r>
        <w:t xml:space="preserve">Groupon | Chicago, IL | June 2015 - February 2018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Full-cycle technical recruiting for engineering, data science, and product teams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Consistently exceeded quarterly hiring targets by 115%+ for 10 consecutive quarters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Pioneered university recruiting program establishing partnerships with 8 Midwest schools</w:t>
      </w:r>
    </w:p>
    <w:p>
      <w:pPr>
        <w:pStyle w:val="JobTitle"/>
      </w:pPr>
      <w:r>
        <w:t xml:space="preserve">Technical Recruiter</w:t>
      </w:r>
    </w:p>
    <w:p>
      <w:pPr>
        <w:pStyle w:val="CompanyLine"/>
      </w:pPr>
      <w:r>
        <w:t xml:space="preserve">Robert Half Technology | Chicago, IL | August 2013 - May 2015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Placed IT professionals across enterprise clients in Chicagoland area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Built candidate pipelines for software development, infrastructure, and cybersecurity roles</w:t>
      </w:r>
    </w:p>
    <w:p>
      <w:pPr>
        <w:pStyle w:val="SectionHeader"/>
      </w:pPr>
      <w:r>
        <w:t xml:space="preserve">Education</w:t>
      </w:r>
    </w:p>
    <w:p>
      <w:r>
        <w:rPr>
          <w:sz w:val="20"/>
          <w:szCs w:val="20"/>
        </w:rPr>
        <w:t xml:space="preserve">Bachelor of Science, Human Resource Management | University of Illinois at Chicago | 2013</w:t>
      </w:r>
    </w:p>
    <w:p>
      <w:pPr>
        <w:pStyle w:val="SectionHeader"/>
      </w:pPr>
      <w:r>
        <w:t xml:space="preserve">Skills</w:t>
      </w:r>
    </w:p>
    <w:p>
      <w:r>
        <w:rPr>
          <w:sz w:val="20"/>
          <w:szCs w:val="20"/>
        </w:rPr>
        <w:t xml:space="preserve">Recruiting: Full-cycle recruiting, executive search, technical recruiting, offer negotiation, employer branding | ATS/Tools: Greenhouse, Lever, LinkedIn Recruiter, Gem, Hired, HireVue | Leadership: Team building, performance management, process optimization, DEI strategy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Name">
    <w:name w:val="Name"/>
    <w:basedOn w:val="Normal"/>
    <w:pPr>
      <w:spacing w:after="60"/>
      <w:jc w:val="center"/>
    </w:pPr>
    <w:rPr>
      <w:rFonts w:ascii="Arial" w:cs="Arial" w:eastAsia="Arial" w:hAnsi="Arial"/>
      <w:b/>
      <w:bCs/>
      <w:color w:val="000000"/>
      <w:sz w:val="36"/>
      <w:szCs w:val="36"/>
    </w:rPr>
  </w:style>
  <w:style w:type="paragraph" w:styleId="Contact">
    <w:name w:val="Contact"/>
    <w:basedOn w:val="Normal"/>
    <w:pPr>
      <w:spacing w:after="120"/>
      <w:jc w:val="center"/>
    </w:pPr>
    <w:rPr>
      <w:rFonts w:ascii="Arial" w:cs="Arial" w:eastAsia="Arial" w:hAnsi="Arial"/>
      <w:color w:val="444444"/>
      <w:sz w:val="20"/>
      <w:szCs w:val="20"/>
    </w:rPr>
  </w:style>
  <w:style w:type="paragraph" w:styleId="SectionHeader">
    <w:name w:val="Section Header"/>
    <w:basedOn w:val="Normal"/>
    <w:pPr>
      <w:pBdr>
        <w:bottom w:color="000000" w:sz="6" w:space="1"/>
      </w:pBdr>
      <w:spacing w:before="240" w:after="120"/>
    </w:pPr>
    <w:rPr>
      <w:rFonts w:ascii="Arial" w:cs="Arial" w:eastAsia="Arial" w:hAnsi="Arial"/>
      <w:b/>
      <w:bCs/>
      <w:caps/>
      <w:color w:val="000000"/>
      <w:sz w:val="24"/>
      <w:szCs w:val="24"/>
    </w:rPr>
  </w:style>
  <w:style w:type="paragraph" w:styleId="JobTitle">
    <w:name w:val="Job Title"/>
    <w:basedOn w:val="Normal"/>
    <w:pPr>
      <w:spacing w:before="180" w:after="0"/>
    </w:pPr>
    <w:rPr>
      <w:rFonts w:ascii="Arial" w:cs="Arial" w:eastAsia="Arial" w:hAnsi="Arial"/>
      <w:b/>
      <w:bCs/>
      <w:color w:val="000000"/>
      <w:sz w:val="22"/>
      <w:szCs w:val="22"/>
    </w:rPr>
  </w:style>
  <w:style w:type="paragraph" w:styleId="CompanyLine">
    <w:name w:val="Company Line"/>
    <w:basedOn w:val="Normal"/>
    <w:pPr>
      <w:spacing w:after="60"/>
    </w:pPr>
    <w:rPr>
      <w:rFonts w:ascii="Arial" w:cs="Arial" w:eastAsia="Arial" w:hAnsi="Arial"/>
      <w:color w:val="333333"/>
      <w:sz w:val="20"/>
      <w:szCs w:val="20"/>
    </w:rPr>
  </w:style>
  <w:style w:type="paragraph" w:styleId="Bullet">
    <w:name w:val="Bullet"/>
    <w:basedOn w:val="Normal"/>
    <w:pPr>
      <w:spacing w:after="40"/>
      <w:ind w:left="360"/>
    </w:pPr>
    <w:rPr>
      <w:rFonts w:ascii="Arial" w:cs="Arial" w:eastAsia="Arial" w:hAnsi="Arial"/>
      <w:color w:val="000000"/>
      <w:sz w:val="20"/>
      <w:szCs w:val="20"/>
    </w:rPr>
  </w:style>
  <w:style w:type="paragraph" w:styleId="Summary">
    <w:name w:val="Summary"/>
    <w:basedOn w:val="Normal"/>
    <w:pPr>
      <w:spacing w:after="120"/>
    </w:pPr>
    <w:rPr>
      <w:rFonts w:ascii="Arial" w:cs="Arial" w:eastAsia="Arial" w:hAnsi="Arial"/>
      <w:color w:val="333333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2025-12-21T20:45:15.281Z</dcterms:created>
  <dcterms:modified xsi:type="dcterms:W3CDTF">2025-12-21T20:45:15.281Z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