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000000"/>
          <w:sz w:val="36"/>
        </w:rPr>
        <w:t>HENRY R. BOLDEN III</w:t>
      </w:r>
    </w:p>
    <w:p>
      <w:pPr>
        <w:spacing w:after="120"/>
        <w:jc w:val="center"/>
      </w:pPr>
      <w:r>
        <w:rPr>
          <w:rFonts w:ascii="Arial" w:hAnsi="Arial"/>
          <w:color w:val="666666"/>
          <w:sz w:val="22"/>
        </w:rPr>
        <w:t>Recruiting Operations Lead | Process Optimization | Systems Integration</w:t>
      </w:r>
    </w:p>
    <w:p>
      <w:pPr>
        <w:spacing w:after="0"/>
        <w:jc w:val="center"/>
        <w:pBdr>
          <w:bottom w:val="single" w:sz="8" w:space="1" w:color="000000"/>
        </w:pBdr>
      </w:pPr>
      <w:r>
        <w:rPr>
          <w:rFonts w:ascii="Arial" w:hAnsi="Arial"/>
          <w:color w:val="000000"/>
          <w:sz w:val="18"/>
        </w:rPr>
        <w:t>+16466487744 • henry.r.bolden@gmail.com • linkedin.com/in/henrybolden • New York, NY</w:t>
      </w:r>
    </w:p>
    <w:p>
      <w:pPr>
        <w:spacing w:before="240" w:after="120"/>
        <w:jc w:val="left"/>
        <w:pBdr>
          <w:top w:val="single" w:sz="16" w:space="1" w:color="000000"/>
          <w:bottom w:val="single" w:sz="8" w:space="1" w:color="000000"/>
        </w:pBdr>
      </w:pPr>
      <w:r>
        <w:rPr>
          <w:rFonts w:ascii="Arial" w:hAnsi="Arial"/>
          <w:b/>
          <w:color w:val="000000"/>
          <w:sz w:val="24"/>
        </w:rPr>
        <w:t>SUMMARY</w:t>
      </w:r>
    </w:p>
    <w:p>
      <w:pPr>
        <w:spacing w:after="240"/>
        <w:jc w:val="both"/>
      </w:pPr>
      <w:r>
        <w:rPr>
          <w:rFonts w:ascii="Arial" w:hAnsi="Arial"/>
          <w:color w:val="000000"/>
          <w:sz w:val="20"/>
        </w:rPr>
        <w:t>Recruiting Operations Leader with 10+ years optimizing global hiring systems, managing coordination teams, and driving operational excellence across high-growth and enterprise organizations. Deep hands-on expertise in ATS administration (Greenhouse, Workday), interview scheduling optimization, compliance management, and analytics infrastructure. Proven ability to scale recruiting operations while maintaining data integrity, process rigor, and an exceptional candidate experience. Track record includes 3x recruiter productivity gains, 30% reduction in time-to-offer, and $1M in operational savings.</w:t>
      </w:r>
    </w:p>
    <w:p>
      <w:pPr>
        <w:spacing w:before="240" w:after="120"/>
        <w:jc w:val="left"/>
        <w:pBdr>
          <w:top w:val="single" w:sz="16" w:space="1" w:color="000000"/>
          <w:bottom w:val="single" w:sz="8" w:space="1" w:color="000000"/>
        </w:pBdr>
      </w:pPr>
      <w:r>
        <w:rPr>
          <w:rFonts w:ascii="Arial" w:hAnsi="Arial"/>
          <w:b/>
          <w:color w:val="000000"/>
          <w:sz w:val="24"/>
        </w:rPr>
        <w:t>CORE COMPETENCIES</w:t>
      </w:r>
    </w:p>
    <w:tbl>
      <w:tblPr>
        <w:tblW w:type="auto" w:w="0"/>
        <w:tblLook w:firstColumn="1" w:firstRow="1" w:lastColumn="0" w:lastRow="0" w:noHBand="0" w:noVBand="1" w:val="04A0"/>
      </w:tblPr>
      <w:tblGrid>
        <w:gridCol w:w="3360"/>
        <w:gridCol w:w="3360"/>
        <w:gridCol w:w="3360"/>
      </w:tblGrid>
      <w:tr>
        <w:tc>
          <w:tcPr>
            <w:tcW w:type="dxa" w:w="3360"/>
            <w:tcBorders>
              <w:top w:val="nil"/>
              <w:left w:val="nil"/>
              <w:bottom w:val="nil"/>
              <w:right w:val="nil"/>
            </w:tcBorders>
          </w:tcPr>
          <w:p>
            <w:r>
              <w:rPr>
                <w:rFonts w:ascii="Arial" w:hAnsi="Arial"/>
                <w:sz w:val="20"/>
              </w:rPr>
              <w:t xml:space="preserve">✓ </w:t>
            </w:r>
            <w:r>
              <w:rPr>
                <w:rFonts w:ascii="Arial" w:hAnsi="Arial"/>
                <w:color w:val="000000"/>
                <w:sz w:val="20"/>
              </w:rPr>
              <w:t>High-Volume Interview Coordination &amp; Scheduling Optimization</w:t>
            </w:r>
          </w:p>
        </w:tc>
        <w:tc>
          <w:tcPr>
            <w:tcW w:type="dxa" w:w="3360"/>
            <w:tcBorders>
              <w:top w:val="nil"/>
              <w:left w:val="nil"/>
              <w:bottom w:val="nil"/>
              <w:right w:val="nil"/>
            </w:tcBorders>
          </w:tcPr>
          <w:p>
            <w:r>
              <w:rPr>
                <w:rFonts w:ascii="Arial" w:hAnsi="Arial"/>
                <w:sz w:val="20"/>
              </w:rPr>
              <w:t xml:space="preserve">✓ </w:t>
            </w:r>
            <w:r>
              <w:rPr>
                <w:rFonts w:ascii="Arial" w:hAnsi="Arial"/>
                <w:color w:val="000000"/>
                <w:sz w:val="20"/>
              </w:rPr>
              <w:t>ATS Administration &amp; Data Integrity Management</w:t>
            </w:r>
          </w:p>
        </w:tc>
        <w:tc>
          <w:tcPr>
            <w:tcW w:type="dxa" w:w="3360"/>
            <w:tcBorders>
              <w:top w:val="nil"/>
              <w:left w:val="nil"/>
              <w:bottom w:val="nil"/>
              <w:right w:val="nil"/>
            </w:tcBorders>
          </w:tcPr>
          <w:p>
            <w:r>
              <w:rPr>
                <w:rFonts w:ascii="Arial" w:hAnsi="Arial"/>
                <w:sz w:val="20"/>
              </w:rPr>
              <w:t xml:space="preserve">✓ </w:t>
            </w:r>
            <w:r>
              <w:rPr>
                <w:rFonts w:ascii="Arial" w:hAnsi="Arial"/>
                <w:color w:val="000000"/>
                <w:sz w:val="20"/>
              </w:rPr>
              <w:t>Recruiting Metrics &amp; Dashboard Development</w:t>
            </w:r>
          </w:p>
        </w:tc>
      </w:tr>
      <w:tr>
        <w:tc>
          <w:tcPr>
            <w:tcW w:type="dxa" w:w="3360"/>
            <w:tcBorders>
              <w:top w:val="nil"/>
              <w:left w:val="nil"/>
              <w:bottom w:val="nil"/>
              <w:right w:val="nil"/>
            </w:tcBorders>
          </w:tcPr>
          <w:p>
            <w:r>
              <w:rPr>
                <w:rFonts w:ascii="Arial" w:hAnsi="Arial"/>
                <w:sz w:val="20"/>
              </w:rPr>
              <w:t xml:space="preserve">✓ </w:t>
            </w:r>
            <w:r>
              <w:rPr>
                <w:rFonts w:ascii="Arial" w:hAnsi="Arial"/>
                <w:color w:val="000000"/>
                <w:sz w:val="20"/>
              </w:rPr>
              <w:t>Process Documentation, Compliance (EEOC/OFCCP), &amp; Workflow Automation</w:t>
            </w:r>
          </w:p>
        </w:tc>
        <w:tc>
          <w:tcPr>
            <w:tcW w:type="dxa" w:w="3360"/>
            <w:tcBorders>
              <w:top w:val="nil"/>
              <w:left w:val="nil"/>
              <w:bottom w:val="nil"/>
              <w:right w:val="nil"/>
            </w:tcBorders>
          </w:tcPr>
          <w:p>
            <w:r>
              <w:rPr>
                <w:rFonts w:ascii="Arial" w:hAnsi="Arial"/>
                <w:sz w:val="20"/>
              </w:rPr>
              <w:t xml:space="preserve">✓ </w:t>
            </w:r>
            <w:r>
              <w:rPr>
                <w:rFonts w:ascii="Arial" w:hAnsi="Arial"/>
                <w:color w:val="000000"/>
                <w:sz w:val="20"/>
              </w:rPr>
              <w:t>Vendor Management &amp; Technology Integration</w:t>
            </w:r>
          </w:p>
        </w:tc>
        <w:tc>
          <w:tcPr>
            <w:tcW w:type="dxa" w:w="3360"/>
            <w:tcBorders>
              <w:top w:val="nil"/>
              <w:left w:val="nil"/>
              <w:bottom w:val="nil"/>
              <w:right w:val="nil"/>
            </w:tcBorders>
          </w:tcPr>
          <w:p>
            <w:r>
              <w:rPr>
                <w:rFonts w:ascii="Arial" w:hAnsi="Arial"/>
                <w:sz w:val="20"/>
              </w:rPr>
              <w:t xml:space="preserve">✓ </w:t>
            </w:r>
            <w:r>
              <w:rPr>
                <w:rFonts w:ascii="Arial" w:hAnsi="Arial"/>
                <w:color w:val="000000"/>
                <w:sz w:val="20"/>
              </w:rPr>
              <w:t>Recruiting Coordinator Training &amp; Team Development</w:t>
            </w:r>
          </w:p>
        </w:tc>
      </w:tr>
    </w:tbl>
    <w:p>
      <w:pPr>
        <w:spacing w:before="240" w:after="120"/>
        <w:jc w:val="left"/>
        <w:pBdr>
          <w:top w:val="single" w:sz="16" w:space="1" w:color="000000"/>
          <w:bottom w:val="single" w:sz="8" w:space="1" w:color="000000"/>
        </w:pBdr>
      </w:pPr>
      <w:r>
        <w:rPr>
          <w:rFonts w:ascii="Arial" w:hAnsi="Arial"/>
          <w:b/>
          <w:color w:val="000000"/>
          <w:sz w:val="24"/>
        </w:rPr>
        <w:t>EXPERIENCE</w:t>
      </w:r>
    </w:p>
    <w:tbl>
      <w:tblPr>
        <w:tblW w:type="auto" w:w="0"/>
        <w:tblLayout w:type="fixed"/>
        <w:tblLook w:firstColumn="1" w:firstRow="1" w:lastColumn="0" w:lastRow="0" w:noHBand="0" w:noVBand="1" w:val="04A0"/>
      </w:tblPr>
      <w:tblGrid>
        <w:gridCol w:w="5040"/>
        <w:gridCol w:w="5040"/>
      </w:tblGrid>
      <w:tr>
        <w:tc>
          <w:tcPr>
            <w:tcW w:type="dxa" w:w="5040"/>
            <w:tcBorders>
              <w:top w:val="nil"/>
              <w:left w:val="nil"/>
              <w:bottom w:val="nil"/>
              <w:right w:val="nil"/>
            </w:tcBorders>
          </w:tcPr>
          <w:p>
            <w:r>
              <w:rPr>
                <w:rFonts w:ascii="Arial" w:hAnsi="Arial"/>
                <w:b/>
                <w:color w:val="000000"/>
                <w:sz w:val="22"/>
              </w:rPr>
              <w:t>National Grid</w:t>
            </w:r>
          </w:p>
        </w:tc>
        <w:tc>
          <w:tcPr>
            <w:tcW w:type="dxa" w:w="5040"/>
            <w:tcBorders>
              <w:top w:val="nil"/>
              <w:left w:val="nil"/>
              <w:bottom w:val="nil"/>
              <w:right w:val="nil"/>
            </w:tcBorders>
          </w:tcPr>
          <w:p>
            <w:pPr>
              <w:jc w:val="right"/>
            </w:pPr>
            <w:r>
              <w:rPr>
                <w:rFonts w:ascii="Arial" w:hAnsi="Arial"/>
                <w:color w:val="666666"/>
                <w:sz w:val="20"/>
              </w:rPr>
              <w:t>New York, NY</w:t>
            </w:r>
          </w:p>
        </w:tc>
      </w:tr>
      <w:tr>
        <w:tc>
          <w:tcPr>
            <w:tcW w:type="dxa" w:w="5040"/>
            <w:tcBorders>
              <w:top w:val="nil"/>
              <w:left w:val="nil"/>
              <w:bottom w:val="nil"/>
              <w:right w:val="nil"/>
            </w:tcBorders>
          </w:tcPr>
          <w:p>
            <w:r>
              <w:rPr>
                <w:rFonts w:ascii="Arial" w:hAnsi="Arial"/>
                <w:b/>
                <w:color w:val="000000"/>
                <w:sz w:val="20"/>
              </w:rPr>
              <w:t>Director &amp; Global Head of Talent Acquisition</w:t>
            </w:r>
          </w:p>
        </w:tc>
        <w:tc>
          <w:tcPr>
            <w:tcW w:type="dxa" w:w="5040"/>
            <w:tcBorders>
              <w:top w:val="nil"/>
              <w:left w:val="nil"/>
              <w:bottom w:val="nil"/>
              <w:right w:val="nil"/>
            </w:tcBorders>
          </w:tcPr>
          <w:p>
            <w:pPr>
              <w:jc w:val="right"/>
            </w:pPr>
            <w:r>
              <w:rPr>
                <w:rFonts w:ascii="Arial" w:hAnsi="Arial"/>
                <w:color w:val="666666"/>
                <w:sz w:val="20"/>
              </w:rPr>
              <w:t>2023 - 2025</w:t>
            </w:r>
          </w:p>
        </w:tc>
      </w:tr>
    </w:tbl>
    <w:p>
      <w:pPr>
        <w:spacing w:before="60" w:after="120"/>
        <w:jc w:val="left"/>
      </w:pPr>
      <w:r>
        <w:rPr>
          <w:rFonts w:ascii="Arial" w:hAnsi="Arial"/>
          <w:i/>
          <w:color w:val="666666"/>
          <w:sz w:val="18"/>
        </w:rPr>
        <w:t>Company Overview: Multinational electricity &amp; gas utility with 30,000 employees; $27B revenue.</w:t>
      </w:r>
    </w:p>
    <w:p>
      <w:pPr>
        <w:spacing w:after="60"/>
        <w:ind w:left="360"/>
        <w:jc w:val="left"/>
      </w:pPr>
      <w:r>
        <w:rPr>
          <w:rFonts w:ascii="Arial" w:hAnsi="Arial"/>
          <w:color w:val="000000"/>
          <w:sz w:val="20"/>
        </w:rPr>
        <w:t>• Led global talent acquisition and recruiting operations across the US and UK for seven corporate functions. Managed daily recruiting logistics, ATS configuration, and compliance audits.</w:t>
      </w:r>
    </w:p>
    <w:p>
      <w:pPr>
        <w:spacing w:after="60"/>
        <w:ind w:left="360"/>
        <w:jc w:val="left"/>
      </w:pPr>
      <w:r>
        <w:rPr>
          <w:rFonts w:ascii="Arial" w:hAnsi="Arial"/>
          <w:color w:val="000000"/>
          <w:sz w:val="20"/>
        </w:rPr>
        <w:t>• Led team of recruiting coordinators, establishing scheduling protocols, conducting performance reviews, and training on Workday administration and calendar management.</w:t>
      </w:r>
    </w:p>
    <w:p>
      <w:pPr>
        <w:spacing w:after="60"/>
        <w:ind w:left="360"/>
        <w:jc w:val="left"/>
      </w:pPr>
      <w:r>
        <w:rPr>
          <w:rFonts w:ascii="Arial" w:hAnsi="Arial"/>
          <w:color w:val="000000"/>
          <w:sz w:val="20"/>
        </w:rPr>
        <w:t>• Overhauled interview scheduling workflows, introducing structured calendar templates and same-day turnaround SLAs. Reduced coordinator workload by 40% and scheduling errors by 25%.</w:t>
      </w:r>
    </w:p>
    <w:tbl>
      <w:tblPr>
        <w:tblW w:type="auto" w:w="0"/>
        <w:tblLayout w:type="fixed"/>
        <w:tblLook w:firstColumn="1" w:firstRow="1" w:lastColumn="0" w:lastRow="0" w:noHBand="0" w:noVBand="1" w:val="04A0"/>
      </w:tblPr>
      <w:tblGrid>
        <w:gridCol w:w="5040"/>
        <w:gridCol w:w="5040"/>
      </w:tblGrid>
      <w:tr>
        <w:tc>
          <w:tcPr>
            <w:tcW w:type="dxa" w:w="5040"/>
            <w:tcBorders>
              <w:top w:val="nil"/>
              <w:left w:val="nil"/>
              <w:bottom w:val="nil"/>
              <w:right w:val="nil"/>
            </w:tcBorders>
          </w:tcPr>
          <w:p>
            <w:r>
              <w:rPr>
                <w:rFonts w:ascii="Arial" w:hAnsi="Arial"/>
                <w:b/>
                <w:color w:val="000000"/>
                <w:sz w:val="22"/>
              </w:rPr>
              <w:t>Spotify</w:t>
            </w:r>
          </w:p>
        </w:tc>
        <w:tc>
          <w:tcPr>
            <w:tcW w:type="dxa" w:w="5040"/>
            <w:tcBorders>
              <w:top w:val="nil"/>
              <w:left w:val="nil"/>
              <w:bottom w:val="nil"/>
              <w:right w:val="nil"/>
            </w:tcBorders>
          </w:tcPr>
          <w:p>
            <w:pPr>
              <w:jc w:val="right"/>
            </w:pPr>
            <w:r>
              <w:rPr>
                <w:rFonts w:ascii="Arial" w:hAnsi="Arial"/>
                <w:color w:val="666666"/>
                <w:sz w:val="20"/>
              </w:rPr>
              <w:t>New York, NY</w:t>
            </w:r>
          </w:p>
        </w:tc>
      </w:tr>
      <w:tr>
        <w:tc>
          <w:tcPr>
            <w:tcW w:type="dxa" w:w="5040"/>
            <w:tcBorders>
              <w:top w:val="nil"/>
              <w:left w:val="nil"/>
              <w:bottom w:val="nil"/>
              <w:right w:val="nil"/>
            </w:tcBorders>
          </w:tcPr>
          <w:p>
            <w:r>
              <w:rPr>
                <w:rFonts w:ascii="Arial" w:hAnsi="Arial"/>
                <w:b/>
                <w:color w:val="000000"/>
                <w:sz w:val="20"/>
              </w:rPr>
              <w:t>Senior Technical Recruiter</w:t>
            </w:r>
          </w:p>
        </w:tc>
        <w:tc>
          <w:tcPr>
            <w:tcW w:type="dxa" w:w="5040"/>
            <w:tcBorders>
              <w:top w:val="nil"/>
              <w:left w:val="nil"/>
              <w:bottom w:val="nil"/>
              <w:right w:val="nil"/>
            </w:tcBorders>
          </w:tcPr>
          <w:p>
            <w:pPr>
              <w:jc w:val="right"/>
            </w:pPr>
            <w:r>
              <w:rPr>
                <w:rFonts w:ascii="Arial" w:hAnsi="Arial"/>
                <w:color w:val="666666"/>
                <w:sz w:val="20"/>
              </w:rPr>
              <w:t>2019 - 2023</w:t>
            </w:r>
          </w:p>
        </w:tc>
      </w:tr>
    </w:tbl>
    <w:p>
      <w:pPr>
        <w:spacing w:before="60" w:after="120"/>
        <w:jc w:val="left"/>
      </w:pPr>
      <w:r>
        <w:rPr>
          <w:rFonts w:ascii="Arial" w:hAnsi="Arial"/>
          <w:i/>
          <w:color w:val="666666"/>
          <w:sz w:val="18"/>
        </w:rPr>
        <w:t>Company Overview: Global audio streaming platform with 6,000+ employees.</w:t>
      </w:r>
    </w:p>
    <w:p>
      <w:pPr>
        <w:spacing w:after="60"/>
        <w:ind w:left="360"/>
        <w:jc w:val="left"/>
      </w:pPr>
      <w:r>
        <w:rPr>
          <w:rFonts w:ascii="Arial" w:hAnsi="Arial"/>
          <w:color w:val="000000"/>
          <w:sz w:val="20"/>
        </w:rPr>
        <w:t>• Partnered with engineering leadership to fill 50+ technical roles annually across multiple product teams.</w:t>
      </w:r>
    </w:p>
    <w:p>
      <w:pPr>
        <w:spacing w:after="60"/>
        <w:ind w:left="360"/>
        <w:jc w:val="left"/>
      </w:pPr>
      <w:r>
        <w:rPr>
          <w:rFonts w:ascii="Arial" w:hAnsi="Arial"/>
          <w:color w:val="000000"/>
          <w:sz w:val="20"/>
        </w:rPr>
        <w:t>• Implemented structured interview processes that improved offer acceptance rates by 15%.</w:t>
      </w:r>
    </w:p>
    <w:p>
      <w:pPr>
        <w:spacing w:after="60"/>
        <w:ind w:left="360"/>
        <w:jc w:val="left"/>
      </w:pPr>
      <w:r>
        <w:rPr>
          <w:rFonts w:ascii="Arial" w:hAnsi="Arial"/>
          <w:color w:val="000000"/>
          <w:sz w:val="20"/>
        </w:rPr>
        <w:t>• Mentored junior recruiters on sourcing strategies and candidate experience best practices.</w:t>
      </w:r>
    </w:p>
    <w:p>
      <w:pPr>
        <w:spacing w:before="240" w:after="120"/>
        <w:jc w:val="left"/>
        <w:pBdr>
          <w:top w:val="single" w:sz="16" w:space="1" w:color="000000"/>
          <w:bottom w:val="single" w:sz="8" w:space="1" w:color="000000"/>
        </w:pBdr>
      </w:pPr>
      <w:r>
        <w:rPr>
          <w:rFonts w:ascii="Arial" w:hAnsi="Arial"/>
          <w:b/>
          <w:color w:val="000000"/>
          <w:sz w:val="24"/>
        </w:rPr>
        <w:t>SKILLS</w:t>
      </w:r>
    </w:p>
    <w:p>
      <w:pPr>
        <w:spacing w:after="120"/>
      </w:pPr>
      <w:r>
        <w:rPr>
          <w:rFonts w:ascii="Arial" w:hAnsi="Arial"/>
          <w:b/>
          <w:color w:val="000000"/>
          <w:sz w:val="20"/>
        </w:rPr>
        <w:t xml:space="preserve">Systems &amp; Tools: </w:t>
      </w:r>
      <w:r>
        <w:rPr>
          <w:rFonts w:ascii="Arial" w:hAnsi="Arial"/>
          <w:color w:val="000000"/>
          <w:sz w:val="20"/>
        </w:rPr>
        <w:t>Greenhouse • Workday • GoodTime • Gem • SQL • Tableau • Excel • ATS Integrations • TA Analytics • CRM Workflows</w:t>
      </w:r>
    </w:p>
    <w:p>
      <w:pPr>
        <w:spacing w:after="120"/>
      </w:pPr>
      <w:r>
        <w:rPr>
          <w:rFonts w:ascii="Arial" w:hAnsi="Arial"/>
          <w:b/>
          <w:color w:val="000000"/>
          <w:sz w:val="20"/>
        </w:rPr>
        <w:t xml:space="preserve">Competencies: </w:t>
      </w:r>
      <w:r>
        <w:rPr>
          <w:rFonts w:ascii="Arial" w:hAnsi="Arial"/>
          <w:color w:val="000000"/>
          <w:sz w:val="20"/>
        </w:rPr>
        <w:t>Recruiting Operations • Process Optimization • Team Leadership • Vendor Management • Compliance</w:t>
      </w:r>
    </w:p>
    <w:p>
      <w:pPr>
        <w:spacing w:before="240" w:after="120"/>
        <w:jc w:val="left"/>
        <w:pBdr>
          <w:top w:val="single" w:sz="16" w:space="1" w:color="000000"/>
          <w:bottom w:val="single" w:sz="8" w:space="1" w:color="000000"/>
        </w:pBdr>
      </w:pPr>
      <w:r>
        <w:rPr>
          <w:rFonts w:ascii="Arial" w:hAnsi="Arial"/>
          <w:b/>
          <w:color w:val="000000"/>
          <w:sz w:val="24"/>
        </w:rPr>
        <w:t>EDUCATION</w:t>
      </w:r>
    </w:p>
    <w:p>
      <w:pPr>
        <w:spacing w:after="0"/>
        <w:jc w:val="left"/>
      </w:pPr>
      <w:r>
        <w:rPr>
          <w:rFonts w:ascii="Arial" w:hAnsi="Arial"/>
          <w:b/>
          <w:color w:val="000000"/>
          <w:sz w:val="22"/>
        </w:rPr>
        <w:t>New York University</w:t>
      </w:r>
    </w:p>
    <w:p>
      <w:pPr>
        <w:spacing w:after="60"/>
        <w:jc w:val="left"/>
      </w:pPr>
      <w:r>
        <w:rPr>
          <w:rFonts w:ascii="Arial" w:hAnsi="Arial"/>
          <w:color w:val="000000"/>
          <w:sz w:val="20"/>
        </w:rPr>
        <w:t>B.A., Social Sciences</w:t>
      </w:r>
    </w:p>
    <w:p>
      <w:pPr>
        <w:spacing w:after="40"/>
        <w:ind w:left="360"/>
        <w:jc w:val="left"/>
      </w:pPr>
      <w:r>
        <w:rPr>
          <w:rFonts w:ascii="Arial" w:hAnsi="Arial"/>
          <w:color w:val="666666"/>
          <w:sz w:val="18"/>
        </w:rPr>
        <w:t>• Concentration: Organizational Behavior &amp; Change</w:t>
      </w:r>
    </w:p>
    <w:p>
      <w:pPr>
        <w:spacing w:after="40"/>
        <w:ind w:left="360"/>
        <w:jc w:val="left"/>
      </w:pPr>
      <w:r>
        <w:rPr>
          <w:rFonts w:ascii="Arial" w:hAnsi="Arial"/>
          <w:color w:val="666666"/>
          <w:sz w:val="18"/>
        </w:rPr>
        <w:t>• Focus: Leadership &amp; Organizational Strategy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