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u w:val="single"/>
          <w:rtl w:val="0"/>
        </w:rPr>
        <w:t xml:space="preserve">Cognitive Aging Data Protocols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Downloading Data from Redcap: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Ensure that export settings are as follows: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/>
        <w:drawing>
          <wp:inline distB="0" distT="0" distL="0" distR="0">
            <wp:extent cx="3184178" cy="2137753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84178" cy="21377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exporting, make if any subjects have duplicate data, only the first (shorter) data analysis is selected for export. Example: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2966243" cy="1333311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66243" cy="13333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To “Clean” data: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Put data exported from redcap into a folder labeled “old” within C:\Users\memlab\Desktop\actigraphData_Aging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Put newest survey data in C:\Users\memlab\Desktop\actigraphData_Aging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Download this data to a raw csv from redcap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contextualSpacing w:val="1"/>
        <w:jc w:val="left"/>
        <w:rPr/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 contain columns labelled ‘record_id’ and ‘actigraph_off’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Ensure that the “new” folder within C:\Users\memlab\Desktop\actigraphData_Aging is empty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Obtain newest version of AgingActigraphScript.py from: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contextualSpacing w:val="1"/>
        <w:jc w:val="left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https://github.com/henryrossiter/CogNeuro/tree/master/actigraphData_Aging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th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python script  within C:\Users\memlab\Desktop\actigraphData_Aging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Cleaned files will be output to folder labeled “new”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For questions, email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henry.rossiter@utexas.edu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henry.rossiter@utexas.edu" TargetMode="Externa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yperlink" Target="https://github.com/henryrossiter/CogNeuro/tree/master/actigraphData_Ag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