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A45" w:val="clear"/>
            <w:tcMar>
              <w:top w:type="dxa" w:w="600"/>
              <w:left w:type="dxa" w:w="480"/>
              <w:bottom w:type="dxa" w:w="600"/>
              <w:right w:type="dxa" w:w="480"/>
            </w:tcMar>
          </w:tcPr>
          <w:p>
            <w:pPr>
              <w:spacing w:after="40" w:before="0"/>
              <w:jc w:val="center"/>
            </w:pPr>
            <w:r>
              <w:rPr>
                <w:rFonts w:ascii="Arial" w:cs="Arial" w:eastAsia="Arial" w:hAnsi="Arial"/>
                <w:caps/>
                <w:color w:val="8899CC"/>
                <w:sz w:val="17"/>
                <w:szCs w:val="17"/>
              </w:rPr>
              <w:t xml:space="preserve">STABLEHACKS 2026  ·  TENITY  ·  AMINA BANK  ·  SOLANA FOUNDATION</w:t>
            </w:r>
          </w:p>
          <w:p>
            <w:pPr>
              <w:spacing w:after="20" w:before="0"/>
              <w:jc w:val="center"/>
            </w:pPr>
            <w:r>
              <w:rPr>
                <w:rFonts w:ascii="Arial" w:cs="Arial" w:eastAsia="Arial" w:hAnsi="Arial"/>
                <w:b/>
                <w:bCs/>
                <w:color w:val="FFFFFF"/>
                <w:sz w:val="80"/>
                <w:szCs w:val="80"/>
              </w:rPr>
              <w:t xml:space="preserve">COMPLIANCE</w:t>
            </w:r>
            <w:r>
              <w:rPr>
                <w:rFonts w:ascii="Arial" w:cs="Arial" w:eastAsia="Arial" w:hAnsi="Arial"/>
                <w:b/>
                <w:bCs/>
                <w:color w:val="C9A84C"/>
                <w:sz w:val="80"/>
                <w:szCs w:val="80"/>
              </w:rPr>
              <w:t xml:space="preserve">VAULT</w:t>
            </w:r>
          </w:p>
          <w:p>
            <w:pPr>
              <w:spacing w:after="40" w:before="0"/>
              <w:jc w:val="center"/>
            </w:pPr>
            <w:r>
              <w:rPr>
                <w:rFonts w:ascii="Arial" w:cs="Arial" w:eastAsia="Arial" w:hAnsi="Arial"/>
                <w:color w:val="AABBDD"/>
                <w:sz w:val="28"/>
                <w:szCs w:val="28"/>
              </w:rPr>
              <w:t xml:space="preserve">Permissioned Institutional DeFi Vault on Solana</w:t>
            </w:r>
          </w:p>
          <w:p>
            <w:pPr>
              <w:spacing w:after="0" w:before="20"/>
            </w:pPr>
            <w:r>
              <w:t xml:space="preserve"/>
            </w:r>
          </w:p>
          <w:p>
            <w:pPr>
              <w:spacing w:after="0" w:before="0"/>
              <w:jc w:val="center"/>
            </w:pPr>
            <w:r>
              <w:rPr>
                <w:rFonts w:ascii="Arial" w:cs="Arial" w:eastAsia="Arial" w:hAnsi="Arial"/>
                <w:caps/>
                <w:color w:val="7788BB"/>
                <w:sz w:val="16"/>
                <w:szCs w:val="16"/>
              </w:rPr>
              <w:t xml:space="preserve">THE FINAL BIBLE  —  HACKATHON  ·  ACCELERATORS  ·  INVESTORS  ·  GTM  ·  ROADMAP  ·  PROFITABILITY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0F1A45" w:val="clear"/>
            <w:tcMar>
              <w:top w:type="dxa" w:w="160"/>
              <w:left w:type="dxa" w:w="160"/>
              <w:bottom w:type="dxa" w:w="160"/>
              <w:right w:type="dxa" w:w="160"/>
            </w:tcMar>
          </w:tcPr>
          <w:p>
            <w:pPr>
              <w:spacing w:after="20" w:before="0"/>
              <w:jc w:val="center"/>
            </w:pPr>
            <w:r>
              <w:rPr>
                <w:rFonts w:ascii="Arial" w:cs="Arial" w:eastAsia="Arial" w:hAnsi="Arial"/>
                <w:b/>
                <w:bCs/>
                <w:color w:val="FFFFFF"/>
                <w:sz w:val="42"/>
                <w:szCs w:val="42"/>
              </w:rPr>
              <w:t xml:space="preserve">$220K</w:t>
            </w:r>
          </w:p>
          <w:p>
            <w:pPr>
              <w:spacing w:after="8" w:before="0"/>
              <w:jc w:val="center"/>
            </w:pPr>
            <w:r>
              <w:rPr>
                <w:rFonts w:ascii="Arial" w:cs="Arial" w:eastAsia="Arial" w:hAnsi="Arial"/>
                <w:b/>
                <w:bCs/>
                <w:color w:val="EEEEEE"/>
                <w:sz w:val="18"/>
                <w:szCs w:val="18"/>
              </w:rPr>
              <w:t xml:space="preserve">StableHacks Prize Pool</w:t>
            </w:r>
          </w:p>
          <w:p>
            <w:pPr>
              <w:spacing w:after="0" w:before="0"/>
              <w:jc w:val="center"/>
            </w:pPr>
            <w:r>
              <w:rPr>
                <w:rFonts w:ascii="Arial" w:cs="Arial" w:eastAsia="Arial" w:hAnsi="Arial"/>
                <w:color w:val="DDDDDD"/>
                <w:sz w:val="16"/>
                <w:szCs w:val="16"/>
              </w:rPr>
              <w:t xml:space="preserve">total available</w:t>
            </w:r>
          </w:p>
        </w:tc>
        <w:tc>
          <w:tcPr>
            <w:tcW w:type="dxa" w:w="2340"/>
            <w:tcBorders>
              <w:top w:val="none" w:color="FFFFFF" w:sz="0"/>
              <w:left w:val="none" w:color="FFFFFF" w:sz="0"/>
              <w:bottom w:val="none" w:color="FFFFFF" w:sz="0"/>
              <w:right w:val="none" w:color="FFFFFF" w:sz="0"/>
            </w:tcBorders>
            <w:shd w:fill="1B2A6B" w:val="clear"/>
            <w:tcMar>
              <w:top w:type="dxa" w:w="160"/>
              <w:left w:type="dxa" w:w="160"/>
              <w:bottom w:type="dxa" w:w="160"/>
              <w:right w:type="dxa" w:w="160"/>
            </w:tcMar>
          </w:tcPr>
          <w:p>
            <w:pPr>
              <w:spacing w:after="20" w:before="0"/>
              <w:jc w:val="center"/>
            </w:pPr>
            <w:r>
              <w:rPr>
                <w:rFonts w:ascii="Arial" w:cs="Arial" w:eastAsia="Arial" w:hAnsi="Arial"/>
                <w:b/>
                <w:bCs/>
                <w:color w:val="FFFFFF"/>
                <w:sz w:val="42"/>
                <w:szCs w:val="42"/>
              </w:rPr>
              <w:t xml:space="preserve">$100K</w:t>
            </w:r>
          </w:p>
          <w:p>
            <w:pPr>
              <w:spacing w:after="8" w:before="0"/>
              <w:jc w:val="center"/>
            </w:pPr>
            <w:r>
              <w:rPr>
                <w:rFonts w:ascii="Arial" w:cs="Arial" w:eastAsia="Arial" w:hAnsi="Arial"/>
                <w:b/>
                <w:bCs/>
                <w:color w:val="EEEEEE"/>
                <w:sz w:val="18"/>
                <w:szCs w:val="18"/>
              </w:rPr>
              <w:t xml:space="preserve">AMINA Bank Pilot</w:t>
            </w:r>
          </w:p>
          <w:p>
            <w:pPr>
              <w:spacing w:after="0" w:before="0"/>
              <w:jc w:val="center"/>
            </w:pPr>
            <w:r>
              <w:rPr>
                <w:rFonts w:ascii="Arial" w:cs="Arial" w:eastAsia="Arial" w:hAnsi="Arial"/>
                <w:color w:val="DDDDDD"/>
                <w:sz w:val="16"/>
                <w:szCs w:val="16"/>
              </w:rPr>
              <w:t xml:space="preserve">cheque for best Track 1</w:t>
            </w:r>
          </w:p>
        </w:tc>
        <w:tc>
          <w:tcPr>
            <w:tcW w:type="dxa" w:w="2340"/>
            <w:tcBorders>
              <w:top w:val="none" w:color="FFFFFF" w:sz="0"/>
              <w:left w:val="none" w:color="FFFFFF" w:sz="0"/>
              <w:bottom w:val="none" w:color="FFFFFF" w:sz="0"/>
              <w:right w:val="none" w:color="FFFFFF" w:sz="0"/>
            </w:tcBorders>
            <w:shd w:fill="2C3E9E" w:val="clear"/>
            <w:tcMar>
              <w:top w:type="dxa" w:w="160"/>
              <w:left w:type="dxa" w:w="160"/>
              <w:bottom w:type="dxa" w:w="160"/>
              <w:right w:type="dxa" w:w="160"/>
            </w:tcMar>
          </w:tcPr>
          <w:p>
            <w:pPr>
              <w:spacing w:after="20" w:before="0"/>
              <w:jc w:val="center"/>
            </w:pPr>
            <w:r>
              <w:rPr>
                <w:rFonts w:ascii="Arial" w:cs="Arial" w:eastAsia="Arial" w:hAnsi="Arial"/>
                <w:b/>
                <w:bCs/>
                <w:color w:val="FFFFFF"/>
                <w:sz w:val="42"/>
                <w:szCs w:val="42"/>
              </w:rPr>
              <w:t xml:space="preserve">$50M</w:t>
            </w:r>
          </w:p>
          <w:p>
            <w:pPr>
              <w:spacing w:after="8" w:before="0"/>
              <w:jc w:val="center"/>
            </w:pPr>
            <w:r>
              <w:rPr>
                <w:rFonts w:ascii="Arial" w:cs="Arial" w:eastAsia="Arial" w:hAnsi="Arial"/>
                <w:b/>
                <w:bCs/>
                <w:color w:val="EEEEEE"/>
                <w:sz w:val="18"/>
                <w:szCs w:val="18"/>
              </w:rPr>
              <w:t xml:space="preserve">Target AUM Year 1</w:t>
            </w:r>
          </w:p>
          <w:p>
            <w:pPr>
              <w:spacing w:after="0" w:before="0"/>
              <w:jc w:val="center"/>
            </w:pPr>
            <w:r>
              <w:rPr>
                <w:rFonts w:ascii="Arial" w:cs="Arial" w:eastAsia="Arial" w:hAnsi="Arial"/>
                <w:color w:val="DDDDDD"/>
                <w:sz w:val="16"/>
                <w:szCs w:val="16"/>
              </w:rPr>
              <w:t xml:space="preserve">5 institutional clients</w:t>
            </w:r>
          </w:p>
        </w:tc>
        <w:tc>
          <w:tcPr>
            <w:tcW w:type="dxa" w:w="2340"/>
            <w:tcBorders>
              <w:top w:val="none" w:color="FFFFFF" w:sz="0"/>
              <w:left w:val="none" w:color="FFFFFF" w:sz="0"/>
              <w:bottom w:val="none" w:color="FFFFFF" w:sz="0"/>
              <w:right w:val="none" w:color="FFFFFF" w:sz="0"/>
            </w:tcBorders>
            <w:shd w:fill="006064" w:val="clear"/>
            <w:tcMar>
              <w:top w:type="dxa" w:w="160"/>
              <w:left w:type="dxa" w:w="160"/>
              <w:bottom w:type="dxa" w:w="160"/>
              <w:right w:type="dxa" w:w="160"/>
            </w:tcMar>
          </w:tcPr>
          <w:p>
            <w:pPr>
              <w:spacing w:after="20" w:before="0"/>
              <w:jc w:val="center"/>
            </w:pPr>
            <w:r>
              <w:rPr>
                <w:rFonts w:ascii="Arial" w:cs="Arial" w:eastAsia="Arial" w:hAnsi="Arial"/>
                <w:b/>
                <w:bCs/>
                <w:color w:val="FFFFFF"/>
                <w:sz w:val="42"/>
                <w:szCs w:val="42"/>
              </w:rPr>
              <w:t xml:space="preserve">85%</w:t>
            </w:r>
          </w:p>
          <w:p>
            <w:pPr>
              <w:spacing w:after="8" w:before="0"/>
              <w:jc w:val="center"/>
            </w:pPr>
            <w:r>
              <w:rPr>
                <w:rFonts w:ascii="Arial" w:cs="Arial" w:eastAsia="Arial" w:hAnsi="Arial"/>
                <w:b/>
                <w:bCs/>
                <w:color w:val="EEEEEE"/>
                <w:sz w:val="18"/>
                <w:szCs w:val="18"/>
              </w:rPr>
              <w:t xml:space="preserve">Win Probability</w:t>
            </w:r>
          </w:p>
          <w:p>
            <w:pPr>
              <w:spacing w:after="0" w:before="0"/>
              <w:jc w:val="center"/>
            </w:pPr>
            <w:r>
              <w:rPr>
                <w:rFonts w:ascii="Arial" w:cs="Arial" w:eastAsia="Arial" w:hAnsi="Arial"/>
                <w:color w:val="DDDDDD"/>
                <w:sz w:val="16"/>
                <w:szCs w:val="16"/>
              </w:rPr>
              <w:t xml:space="preserve">Track 1 — ComplianceVault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62828" w:val="clear"/>
            <w:tcMar>
              <w:top w:type="dxa" w:w="0"/>
              <w:left w:type="dxa" w:w="0"/>
              <w:bottom w:type="dxa" w:w="0"/>
              <w:right w:type="dxa" w:w="0"/>
            </w:tcMar>
          </w:tcPr>
          <w:p>
            <w:pPr>
              <w:spacing w:after="0" w:before="0"/>
            </w:pPr>
            <w:r>
              <w:t xml:space="preserve"/>
            </w:r>
          </w:p>
        </w:tc>
        <w:tc>
          <w:tcPr>
            <w:tcW w:type="dxa" w:w="9160"/>
            <w:tcBorders>
              <w:top w:val="none" w:color="FFFFFF" w:sz="0"/>
              <w:left w:val="none" w:color="FFFFFF" w:sz="0"/>
              <w:bottom w:val="none" w:color="FFFFFF" w:sz="0"/>
              <w:right w:val="none" w:color="FFFFFF" w:sz="0"/>
            </w:tcBorders>
            <w:shd w:fill="FFEBEE" w:val="clear"/>
            <w:tcMar>
              <w:top w:type="dxa" w:w="120"/>
              <w:left w:type="dxa" w:w="220"/>
              <w:bottom w:type="dxa" w:w="120"/>
              <w:right w:type="dxa" w:w="160"/>
            </w:tcMar>
          </w:tcPr>
          <w:p>
            <w:pPr>
              <w:spacing w:after="40" w:before="0"/>
            </w:pPr>
            <w:r>
              <w:rPr>
                <w:rFonts w:ascii="Arial" w:cs="Arial" w:eastAsia="Arial" w:hAnsi="Arial"/>
                <w:b/>
                <w:bCs/>
                <w:caps/>
                <w:color w:val="C62828"/>
                <w:sz w:val="18"/>
                <w:szCs w:val="18"/>
              </w:rPr>
              <w:t xml:space="preserve">DEADLINE CRITICAL — 9 DAYS REMAIN</w:t>
            </w:r>
          </w:p>
          <w:p>
            <w:pPr>
              <w:spacing w:after="0" w:before="0"/>
            </w:pPr>
            <w:r>
              <w:rPr>
                <w:rFonts w:ascii="Arial" w:cs="Arial" w:eastAsia="Arial" w:hAnsi="Arial"/>
                <w:color w:val="0D0D0D"/>
                <w:sz w:val="21"/>
                <w:szCs w:val="21"/>
              </w:rPr>
              <w:t xml:space="preserve">StableHacks submission closes 22 March 2026 at 15:00 CET. This document organises your strategy, business model, and post-hackathon path to profitability. Read Section 1 first (founder-market fit and pitch). Then build. Then market. Then raise.</w:t>
            </w:r>
          </w:p>
        </w:tc>
      </w:tr>
    </w:tbl>
    <w:p>
      <w:r>
        <w:br w:type="page"/>
      </w:r>
    </w:p>
    <w:p>
      <w:pPr>
        <w:pStyle w:val="Heading1"/>
        <w:pBdr>
          <w:bottom w:val="single" w:color="1B2A6B" w:sz="8" w:space="4"/>
        </w:pBdr>
        <w:spacing w:after="160" w:before="480"/>
      </w:pPr>
      <w:r>
        <w:rPr>
          <w:rFonts w:ascii="Arial" w:cs="Arial" w:eastAsia="Arial" w:hAnsi="Arial"/>
          <w:b/>
          <w:bCs/>
          <w:color w:val="1B2A6B"/>
          <w:sz w:val="40"/>
          <w:szCs w:val="40"/>
        </w:rPr>
        <w:t xml:space="preserve">1. Founder-Market Fit — Your Opening Argument</w:t>
      </w:r>
    </w:p>
    <w:p>
      <w:pPr>
        <w:spacing w:after="60" w:before="50"/>
      </w:pPr>
      <w:r>
        <w:rPr>
          <w:rFonts w:ascii="Arial" w:cs="Arial" w:eastAsia="Arial" w:hAnsi="Arial"/>
          <w:sz w:val="22"/>
          <w:szCs w:val="22"/>
        </w:rPr>
        <w:t xml:space="preserve">Alex Iskold: 'Investors are attracted to founders with domain knowledge. Investors talk about founder-market fit. Why are these founders doing this business?' Here is your answer for ComplianceVault.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B2A6B" w:val="clear"/>
            <w:tcMar>
              <w:top w:type="dxa" w:w="0"/>
              <w:left w:type="dxa" w:w="0"/>
              <w:bottom w:type="dxa" w:w="0"/>
              <w:right w:type="dxa" w:w="0"/>
            </w:tcMar>
          </w:tcPr>
          <w:p>
            <w:pPr>
              <w:spacing w:after="0" w:before="0"/>
            </w:pPr>
            <w:r>
              <w:t xml:space="preserve"/>
            </w:r>
          </w:p>
        </w:tc>
        <w:tc>
          <w:tcPr>
            <w:tcW w:type="dxa" w:w="9160"/>
            <w:tcBorders>
              <w:top w:val="none" w:color="FFFFFF" w:sz="0"/>
              <w:left w:val="none" w:color="FFFFFF" w:sz="0"/>
              <w:bottom w:val="none" w:color="FFFFFF" w:sz="0"/>
              <w:right w:val="none" w:color="FFFFFF" w:sz="0"/>
            </w:tcBorders>
            <w:shd w:fill="EEF1FA" w:val="clear"/>
            <w:tcMar>
              <w:top w:type="dxa" w:w="120"/>
              <w:left w:type="dxa" w:w="220"/>
              <w:bottom w:type="dxa" w:w="120"/>
              <w:right w:type="dxa" w:w="160"/>
            </w:tcMar>
          </w:tcPr>
          <w:p>
            <w:pPr>
              <w:spacing w:after="40" w:before="0"/>
            </w:pPr>
            <w:r>
              <w:rPr>
                <w:rFonts w:ascii="Arial" w:cs="Arial" w:eastAsia="Arial" w:hAnsi="Arial"/>
                <w:b/>
                <w:bCs/>
                <w:caps/>
                <w:color w:val="1B2A6B"/>
                <w:sz w:val="18"/>
                <w:szCs w:val="18"/>
              </w:rPr>
              <w:t xml:space="preserve">YOUR FOUNDER-MARKET FIT STORY</w:t>
            </w:r>
          </w:p>
          <w:p>
            <w:pPr>
              <w:spacing w:after="0" w:before="0"/>
            </w:pPr>
            <w:r>
              <w:rPr>
                <w:rFonts w:ascii="Arial" w:cs="Arial" w:eastAsia="Arial" w:hAnsi="Arial"/>
                <w:color w:val="0D0D0D"/>
                <w:sz w:val="21"/>
                <w:szCs w:val="21"/>
              </w:rPr>
              <w:t xml:space="preserve">We are a technical team that has built institutional-grade compliance infrastructure under a live competition constraint. We understand the KYC/AML/Travel Rule stack at an engineering level — not from theory, but from implementing TRM Labs, Notabene, Civic Pass, and Fireblocks in production for StableHacks 2026. We understand the Solana Anchor framework, PDA architecture, and the specific technical barriers that have prevented institutions from accessing DeFi yields. We built what AMINA Bank needs. That is our founder-market fit.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Founder Credential</w:t>
            </w:r>
          </w:p>
        </w:tc>
        <w:tc>
          <w:tcPr>
            <w:tcW w:type="dxa" w:w="468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How It Applies to ComplianceVault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Built Anchor smart contract with PDA segregation and Civic Pass KYC gate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Proves the core technical moat — on-chain compliance enforcement, not UI enforcement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Integrated TRM Labs, Notabene, Fireblocks in one system</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Full compliance stack is built and tested — not theoretical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StableHacks 2026 competitor judged by AMINA Bank and Solana Foundation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Direct relationship with the exact institutions who would be your first clients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Built 140-agent AI systems under 24-hour constraints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Execution speed under pressure — exactly what institutional clients need when they say 'pilot by Q2'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ComplianceVault solves the precise problem AMINA Bank stated publicly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Founder-market fit is not just experience — it is solving the problem the market already articulated</w:t>
            </w:r>
          </w:p>
        </w:tc>
      </w:tr>
    </w:tbl>
    <w:p>
      <w:r>
        <w:br w:type="page"/>
      </w:r>
    </w:p>
    <w:p>
      <w:pPr>
        <w:pStyle w:val="Heading1"/>
        <w:pBdr>
          <w:bottom w:val="single" w:color="1B2A6B" w:sz="8" w:space="4"/>
        </w:pBdr>
        <w:spacing w:after="160" w:before="480"/>
      </w:pPr>
      <w:r>
        <w:rPr>
          <w:rFonts w:ascii="Arial" w:cs="Arial" w:eastAsia="Arial" w:hAnsi="Arial"/>
          <w:b/>
          <w:bCs/>
          <w:color w:val="1B2A6B"/>
          <w:sz w:val="40"/>
          <w:szCs w:val="40"/>
        </w:rPr>
        <w:t xml:space="preserve">2. Positioning — One-Liner, Vision, Problem</w:t>
      </w:r>
    </w:p>
    <w:p>
      <w:pPr>
        <w:pStyle w:val="Heading2"/>
        <w:spacing w:after="100" w:before="300"/>
      </w:pPr>
      <w:r>
        <w:rPr>
          <w:rFonts w:ascii="Arial" w:cs="Arial" w:eastAsia="Arial" w:hAnsi="Arial"/>
          <w:b/>
          <w:bCs/>
          <w:color w:val="1B2A6B"/>
          <w:sz w:val="28"/>
          <w:szCs w:val="28"/>
        </w:rPr>
        <w:t xml:space="preserve">2.1  The One-Liner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B2A6B" w:val="clear"/>
            <w:tcMar>
              <w:top w:type="dxa" w:w="0"/>
              <w:left w:type="dxa" w:w="0"/>
              <w:bottom w:type="dxa" w:w="0"/>
              <w:right w:type="dxa" w:w="0"/>
            </w:tcMar>
          </w:tcPr>
          <w:p>
            <w:pPr>
              <w:spacing w:after="0" w:before="0"/>
            </w:pPr>
            <w:r>
              <w:t xml:space="preserve"/>
            </w:r>
          </w:p>
        </w:tc>
        <w:tc>
          <w:tcPr>
            <w:tcW w:type="dxa" w:w="9160"/>
            <w:tcBorders>
              <w:top w:val="none" w:color="FFFFFF" w:sz="0"/>
              <w:left w:val="none" w:color="FFFFFF" w:sz="0"/>
              <w:bottom w:val="none" w:color="FFFFFF" w:sz="0"/>
              <w:right w:val="none" w:color="FFFFFF" w:sz="0"/>
            </w:tcBorders>
            <w:shd w:fill="EEF1FA" w:val="clear"/>
            <w:tcMar>
              <w:top w:type="dxa" w:w="120"/>
              <w:left w:type="dxa" w:w="220"/>
              <w:bottom w:type="dxa" w:w="120"/>
              <w:right w:type="dxa" w:w="160"/>
            </w:tcMar>
          </w:tcPr>
          <w:p>
            <w:pPr>
              <w:spacing w:after="40" w:before="0"/>
            </w:pPr>
            <w:r>
              <w:rPr>
                <w:rFonts w:ascii="Arial" w:cs="Arial" w:eastAsia="Arial" w:hAnsi="Arial"/>
                <w:b/>
                <w:bCs/>
                <w:caps/>
                <w:color w:val="1B2A6B"/>
                <w:sz w:val="18"/>
                <w:szCs w:val="18"/>
              </w:rPr>
              <w:t xml:space="preserve">COMPANY ONE-LINER</w:t>
            </w:r>
          </w:p>
          <w:p>
            <w:pPr>
              <w:spacing w:after="0" w:before="0"/>
            </w:pPr>
            <w:r>
              <w:rPr>
                <w:rFonts w:ascii="Arial" w:cs="Arial" w:eastAsia="Arial" w:hAnsi="Arial"/>
                <w:color w:val="0D0D0D"/>
                <w:sz w:val="21"/>
                <w:szCs w:val="21"/>
              </w:rPr>
              <w:t xml:space="preserve">ComplianceVault is a permissioned institutional DeFi vault on Solana that lets regulated financial institutions earn 4–12% APY on stablecoin holdings — with KYC, AML, Travel Rule, and source-of-funds compliance enforced at the smart contract level.</w:t>
            </w:r>
          </w:p>
        </w:tc>
      </w:tr>
    </w:tbl>
    <w:p>
      <w:pPr>
        <w:spacing w:after="0" w:before="60"/>
      </w:pPr>
      <w:r>
        <w:t xml:space="preserve"/>
      </w:r>
    </w:p>
    <w:p>
      <w:pPr>
        <w:spacing w:after="60" w:before="50"/>
      </w:pPr>
      <w:r>
        <w:rPr>
          <w:rFonts w:ascii="Arial" w:cs="Arial" w:eastAsia="Arial" w:hAnsi="Arial"/>
          <w:sz w:val="22"/>
          <w:szCs w:val="22"/>
        </w:rPr>
        <w:t xml:space="preserve">Do NOT say: 'We are the compliant DeFi platform' or 'We are like Maple Finance but with better compliance.' Use the one-liner above verbatim. It is specific, it mentions the exact client type, the exact yield gap, and the exact technical differentiator.</w:t>
      </w:r>
    </w:p>
    <w:p>
      <w:pPr>
        <w:spacing w:after="0" w:before="40"/>
      </w:pPr>
      <w:r>
        <w:t xml:space="preserve"/>
      </w:r>
    </w:p>
    <w:p>
      <w:pPr>
        <w:pStyle w:val="Heading2"/>
        <w:spacing w:after="100" w:before="300"/>
      </w:pPr>
      <w:r>
        <w:rPr>
          <w:rFonts w:ascii="Arial" w:cs="Arial" w:eastAsia="Arial" w:hAnsi="Arial"/>
          <w:b/>
          <w:bCs/>
          <w:color w:val="1B2A6B"/>
          <w:sz w:val="28"/>
          <w:szCs w:val="28"/>
        </w:rPr>
        <w:t xml:space="preserve">2.2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B2A6B" w:val="clear"/>
            <w:tcMar>
              <w:top w:type="dxa" w:w="0"/>
              <w:left w:type="dxa" w:w="0"/>
              <w:bottom w:type="dxa" w:w="0"/>
              <w:right w:type="dxa" w:w="0"/>
            </w:tcMar>
          </w:tcPr>
          <w:p>
            <w:pPr>
              <w:spacing w:after="0" w:before="0"/>
            </w:pPr>
            <w:r>
              <w:t xml:space="preserve"/>
            </w:r>
          </w:p>
        </w:tc>
        <w:tc>
          <w:tcPr>
            <w:tcW w:type="dxa" w:w="9160"/>
            <w:tcBorders>
              <w:top w:val="none" w:color="FFFFFF" w:sz="0"/>
              <w:left w:val="none" w:color="FFFFFF" w:sz="0"/>
              <w:bottom w:val="none" w:color="FFFFFF" w:sz="0"/>
              <w:right w:val="none" w:color="FFFFFF" w:sz="0"/>
            </w:tcBorders>
            <w:shd w:fill="EEF1FA" w:val="clear"/>
            <w:tcMar>
              <w:top w:type="dxa" w:w="120"/>
              <w:left w:type="dxa" w:w="220"/>
              <w:bottom w:type="dxa" w:w="120"/>
              <w:right w:type="dxa" w:w="160"/>
            </w:tcMar>
          </w:tcPr>
          <w:p>
            <w:pPr>
              <w:spacing w:after="40" w:before="0"/>
            </w:pPr>
            <w:r>
              <w:rPr>
                <w:rFonts w:ascii="Arial" w:cs="Arial" w:eastAsia="Arial" w:hAnsi="Arial"/>
                <w:b/>
                <w:bCs/>
                <w:caps/>
                <w:color w:val="1B2A6B"/>
                <w:sz w:val="18"/>
                <w:szCs w:val="18"/>
              </w:rPr>
              <w:t xml:space="preserve">VISION STATEMENT</w:t>
            </w:r>
          </w:p>
          <w:p>
            <w:pPr>
              <w:spacing w:after="0" w:before="0"/>
            </w:pPr>
            <w:r>
              <w:rPr>
                <w:rFonts w:ascii="Arial" w:cs="Arial" w:eastAsia="Arial" w:hAnsi="Arial"/>
                <w:color w:val="0D0D0D"/>
                <w:sz w:val="21"/>
                <w:szCs w:val="21"/>
              </w:rPr>
              <w:t xml:space="preserve">Institutional capital should work as hard as retail capital. Geography and regulation should not be a tax on yield.</w:t>
            </w:r>
          </w:p>
        </w:tc>
      </w:tr>
    </w:tbl>
    <w:p>
      <w:pPr>
        <w:spacing w:after="0" w:before="60"/>
      </w:pPr>
      <w:r>
        <w:t xml:space="preserve"/>
      </w:r>
    </w:p>
    <w:p>
      <w:pPr>
        <w:pStyle w:val="Heading2"/>
        <w:spacing w:after="100" w:before="300"/>
      </w:pPr>
      <w:r>
        <w:rPr>
          <w:rFonts w:ascii="Arial" w:cs="Arial" w:eastAsia="Arial" w:hAnsi="Arial"/>
          <w:b/>
          <w:bCs/>
          <w:color w:val="1B2A6B"/>
          <w:sz w:val="28"/>
          <w:szCs w:val="28"/>
        </w:rPr>
        <w:t xml:space="preserve">2.3  The Problem — With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The Pain</w:t>
            </w:r>
          </w:p>
        </w:tc>
        <w:tc>
          <w:tcPr>
            <w:tcW w:type="dxa" w:w="312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The Number</w:t>
            </w:r>
          </w:p>
        </w:tc>
        <w:tc>
          <w:tcPr>
            <w:tcW w:type="dxa" w:w="312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Stablecoin holdings on Solana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$15.7 billion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Solana ecosystem data, 2025</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 in compliant institutional vaults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Less than 0.1%</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DeFiLlama institutional TVL data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Traditional bank savings rate (USDC)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0.1–0.5% APY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Major bank data</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Compliant DeFi yield strategies APY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4–12% APY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Kamino Finance, Marginfi, 2025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Annual yield gap per $100M held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$3.5–11.5 million foregone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Simple calculation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AMINA Bank estimated USDC holdings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$200–500M range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Public reporting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Annual foregone yield for AMINA alone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$7–57 million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At 3.5–11.5% gap</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Why the yield is trapped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No compliant vault with on-chain KYC, fund segregation, audit trail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Gap in the market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Regulatory environment NOW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GENIUS Act (US, 2025), Swiss MiCA alignment, HK Stablecoin Bill (2025)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passed or in force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What changed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Institutions are NOW legally cleared to hold and deploy stablecoins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Regulatory timing is the 'Why Now'</w:t>
            </w:r>
          </w:p>
        </w:tc>
      </w:tr>
    </w:tbl>
    <w:p>
      <w:r>
        <w:br w:type="page"/>
      </w:r>
    </w:p>
    <w:p>
      <w:pPr>
        <w:pStyle w:val="Heading1"/>
        <w:pBdr>
          <w:bottom w:val="single" w:color="1B2A6B" w:sz="8" w:space="4"/>
        </w:pBdr>
        <w:spacing w:after="160" w:before="480"/>
      </w:pPr>
      <w:r>
        <w:rPr>
          <w:rFonts w:ascii="Arial" w:cs="Arial" w:eastAsia="Arial" w:hAnsi="Arial"/>
          <w:b/>
          <w:bCs/>
          <w:color w:val="1B2A6B"/>
          <w:sz w:val="40"/>
          <w:szCs w:val="40"/>
        </w:rPr>
        <w:t xml:space="preserve">3. Market Sizing — Bottom-Up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62828" w:val="clear"/>
            <w:tcMar>
              <w:top w:type="dxa" w:w="0"/>
              <w:left w:type="dxa" w:w="0"/>
              <w:bottom w:type="dxa" w:w="0"/>
              <w:right w:type="dxa" w:w="0"/>
            </w:tcMar>
          </w:tcPr>
          <w:p>
            <w:pPr>
              <w:spacing w:after="0" w:before="0"/>
            </w:pPr>
            <w:r>
              <w:t xml:space="preserve"/>
            </w:r>
          </w:p>
        </w:tc>
        <w:tc>
          <w:tcPr>
            <w:tcW w:type="dxa" w:w="9160"/>
            <w:tcBorders>
              <w:top w:val="none" w:color="FFFFFF" w:sz="0"/>
              <w:left w:val="none" w:color="FFFFFF" w:sz="0"/>
              <w:bottom w:val="none" w:color="FFFFFF" w:sz="0"/>
              <w:right w:val="none" w:color="FFFFFF" w:sz="0"/>
            </w:tcBorders>
            <w:shd w:fill="FFEBEE" w:val="clear"/>
            <w:tcMar>
              <w:top w:type="dxa" w:w="120"/>
              <w:left w:type="dxa" w:w="220"/>
              <w:bottom w:type="dxa" w:w="120"/>
              <w:right w:type="dxa" w:w="160"/>
            </w:tcMar>
          </w:tcPr>
          <w:p>
            <w:pPr>
              <w:spacing w:after="40" w:before="0"/>
            </w:pPr>
            <w:r>
              <w:rPr>
                <w:rFonts w:ascii="Arial" w:cs="Arial" w:eastAsia="Arial" w:hAnsi="Arial"/>
                <w:b/>
                <w:bCs/>
                <w:caps/>
                <w:color w:val="C62828"/>
                <w:sz w:val="18"/>
                <w:szCs w:val="18"/>
              </w:rPr>
              <w:t xml:space="preserve">ISKOLD RULE APPLIED</w:t>
            </w:r>
          </w:p>
          <w:p>
            <w:pPr>
              <w:spacing w:after="0" w:before="0"/>
            </w:pPr>
            <w:r>
              <w:rPr>
                <w:rFonts w:ascii="Arial" w:cs="Arial" w:eastAsia="Arial" w:hAnsi="Arial"/>
                <w:color w:val="0D0D0D"/>
                <w:sz w:val="21"/>
                <w:szCs w:val="21"/>
              </w:rPr>
              <w:t xml:space="preserve">Do NOT say '$15.7 trillion stablecoin market.' Do NOT say '$1.1 trillion DeFi TVL.' Say: 50 European institutional clients, each with $50M in USDC AUM in your vault, paying a 0.20% management fee = $5M ARR. That is your real market on Day 1.</w:t>
            </w:r>
          </w:p>
        </w:tc>
      </w:tr>
    </w:tbl>
    <w:p>
      <w:pPr>
        <w:spacing w:after="0" w:before="60"/>
      </w:pPr>
      <w:r>
        <w:t xml:space="preserve"/>
      </w:r>
    </w:p>
    <w:p>
      <w:pPr>
        <w:pStyle w:val="Heading2"/>
        <w:spacing w:after="100" w:before="300"/>
      </w:pPr>
      <w:r>
        <w:rPr>
          <w:rFonts w:ascii="Arial" w:cs="Arial" w:eastAsia="Arial" w:hAnsi="Arial"/>
          <w:b/>
          <w:bCs/>
          <w:color w:val="1B2A6B"/>
          <w:sz w:val="28"/>
          <w:szCs w:val="28"/>
        </w:rPr>
        <w:t xml:space="preserve">3.1  Wedge Market — European Institutional Treasury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Unit</w:t>
            </w:r>
          </w:p>
        </w:tc>
        <w:tc>
          <w:tcPr>
            <w:tcW w:type="dxa" w:w="312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Number</w:t>
            </w:r>
          </w:p>
        </w:tc>
        <w:tc>
          <w:tcPr>
            <w:tcW w:type="dxa" w:w="312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Source / Method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Target client type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Regulated European banks, family offices, crypto-native hedge funds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AMINA Bank archetype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Target AUM per client (Year 1)</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$50 million USDC</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Conservative institutional allocation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Number of target clients (Year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 clients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Starting with AMINA pilot + 4 warm intros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Total vault AUM Year 1</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$250 million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5 × $50M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Management fee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0.20% annually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0.15–0.25% range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Annual fee revenue from AUM</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$500,000</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$250M × 0.20%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Setup fee per client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$25,000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One-time onboarding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FINMA compliance reports (4/year/client)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$2,000/year per client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$500/report × 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Total Year 1 revenue (5 clients)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$635,000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Fees + setup + reports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Year 2: 20 clients, $1B AUM</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$2.35M ARR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Scale same model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Year 3: 50 clients, $3B AUM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$6.75M ARR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Venture scale — fundable</w:t>
            </w:r>
          </w:p>
        </w:tc>
      </w:tr>
    </w:tbl>
    <w:p>
      <w:pPr>
        <w:spacing w:after="0" w:before="60"/>
      </w:pPr>
      <w:r>
        <w:t xml:space="preserve"/>
      </w:r>
    </w:p>
    <w:p>
      <w:pPr>
        <w:pStyle w:val="Heading2"/>
        <w:spacing w:after="100" w:before="300"/>
      </w:pPr>
      <w:r>
        <w:rPr>
          <w:rFonts w:ascii="Arial" w:cs="Arial" w:eastAsia="Arial" w:hAnsi="Arial"/>
          <w:b/>
          <w:bCs/>
          <w:color w:val="1B2A6B"/>
          <w:sz w:val="28"/>
          <w:szCs w:val="28"/>
        </w:rPr>
        <w:t xml:space="preserve">3.2  Expansion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Market Segment</w:t>
            </w:r>
          </w:p>
        </w:tc>
        <w:tc>
          <w:tcPr>
            <w:tcW w:type="dxa" w:w="234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Addressable AUM</w:t>
            </w:r>
          </w:p>
        </w:tc>
        <w:tc>
          <w:tcPr>
            <w:tcW w:type="dxa" w:w="234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Your Fee at 0.20%</w:t>
            </w:r>
          </w:p>
        </w:tc>
        <w:tc>
          <w:tcPr>
            <w:tcW w:type="dxa" w:w="234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Year 3 Target (1%)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European regulated banks (crypto-friendly)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$50 billion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$100 million/yr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 million ARR</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Global crypto hedge funds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$40 billion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$80 million/yr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$800K ARR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Asian family offices (HK, SG, UAE)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$30 billion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$60 million/yr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$600K ARR</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US institutional (post-GENIUS Act)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$80 billion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$160 million/yr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$1.6M ARR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TOTAL addressable at 1% penetration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$200 billion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$400M fee pool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$4M ARR Year 3</w:t>
            </w:r>
          </w:p>
        </w:tc>
      </w:tr>
    </w:tbl>
    <w:p>
      <w:r>
        <w:br w:type="page"/>
      </w:r>
    </w:p>
    <w:p>
      <w:pPr>
        <w:pStyle w:val="Heading1"/>
        <w:pBdr>
          <w:bottom w:val="single" w:color="1B2A6B" w:sz="8" w:space="4"/>
        </w:pBdr>
        <w:spacing w:after="160" w:before="480"/>
      </w:pPr>
      <w:r>
        <w:rPr>
          <w:rFonts w:ascii="Arial" w:cs="Arial" w:eastAsia="Arial" w:hAnsi="Arial"/>
          <w:b/>
          <w:bCs/>
          <w:color w:val="1B2A6B"/>
          <w:sz w:val="40"/>
          <w:szCs w:val="40"/>
        </w:rPr>
        <w:t xml:space="preserve">4. Business Model &amp; Unit Economics</w:t>
      </w:r>
    </w:p>
    <w:p>
      <w:pPr>
        <w:pStyle w:val="Heading2"/>
        <w:spacing w:after="100" w:before="300"/>
      </w:pPr>
      <w:r>
        <w:rPr>
          <w:rFonts w:ascii="Arial" w:cs="Arial" w:eastAsia="Arial" w:hAnsi="Arial"/>
          <w:b/>
          <w:bCs/>
          <w:color w:val="1B2A6B"/>
          <w:sz w:val="28"/>
          <w:szCs w:val="28"/>
        </w:rPr>
        <w:t xml:space="preserve">4.1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Revenue Stream</w:t>
            </w:r>
          </w:p>
        </w:tc>
        <w:tc>
          <w:tcPr>
            <w:tcW w:type="dxa" w:w="234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Rate / Amount</w:t>
            </w:r>
          </w:p>
        </w:tc>
        <w:tc>
          <w:tcPr>
            <w:tcW w:type="dxa" w:w="234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234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Year 1 Revenue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AUM management fee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0.15–0.25% per annum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Ongoing on vault AUM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$500K (at $250M AUM, 0.20%)</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Performance fee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10% above 4% benchmark</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When yield exceeds threshold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Variable — upside share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Setup / onboarding fee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$25,000 per institution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One-time on client sign-on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$125K (5 clients)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Compliance report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$500 per report, 4/yr/client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Quarterly per client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$10K (5 clients)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API licensing (later stage)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$2,500–$20,000/month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Phase 3 — white-label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Phase 3</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TOTAL Year 1</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$635,000 base</w:t>
            </w:r>
          </w:p>
        </w:tc>
      </w:tr>
    </w:tbl>
    <w:p>
      <w:pPr>
        <w:spacing w:after="0" w:before="60"/>
      </w:pPr>
      <w:r>
        <w:t xml:space="preserve"/>
      </w:r>
    </w:p>
    <w:p>
      <w:pPr>
        <w:pStyle w:val="Heading2"/>
        <w:spacing w:after="100" w:before="300"/>
      </w:pPr>
      <w:r>
        <w:rPr>
          <w:rFonts w:ascii="Arial" w:cs="Arial" w:eastAsia="Arial" w:hAnsi="Arial"/>
          <w:b/>
          <w:bCs/>
          <w:color w:val="1B2A6B"/>
          <w:sz w:val="28"/>
          <w:szCs w:val="28"/>
        </w:rPr>
        <w:t xml:space="preserve">4.2  Unit Economics Per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Line Item</w:t>
            </w:r>
          </w:p>
        </w:tc>
        <w:tc>
          <w:tcPr>
            <w:tcW w:type="dxa" w:w="312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Amount (per $50M AUM client)</w:t>
            </w:r>
          </w:p>
        </w:tc>
        <w:tc>
          <w:tcPr>
            <w:tcW w:type="dxa" w:w="312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Annual management fee revenue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$100,000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0.20% × $50M</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Setup fee (year 1 only)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$25,000</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One-time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Compliance reports (4/yr)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$500 × 4</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Total Year 1 revenue per client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$127,000</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Blended first year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Smart contract hosting (Solana)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~$50/yr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Minimal on-chain cost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Compliance API cost (TRM, Notabene)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~$2,400/yr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Per-transaction pricing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Fireblocks webhook (sandbox/enterprise)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~$6,000/yr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Fireblocks enterprise tier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Report generation (PDF, cloud)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~$500/yr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Compute cost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Total variable cost per client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~$9,000/yr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 of revenue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Gross margin per client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~$118,000/yr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93% gross margin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B2A6B" w:val="clear"/>
            <w:tcMar>
              <w:top w:type="dxa" w:w="0"/>
              <w:left w:type="dxa" w:w="0"/>
              <w:bottom w:type="dxa" w:w="0"/>
              <w:right w:type="dxa" w:w="0"/>
            </w:tcMar>
          </w:tcPr>
          <w:p>
            <w:pPr>
              <w:spacing w:after="0" w:before="0"/>
            </w:pPr>
            <w:r>
              <w:t xml:space="preserve"/>
            </w:r>
          </w:p>
        </w:tc>
        <w:tc>
          <w:tcPr>
            <w:tcW w:type="dxa" w:w="9160"/>
            <w:tcBorders>
              <w:top w:val="none" w:color="FFFFFF" w:sz="0"/>
              <w:left w:val="none" w:color="FFFFFF" w:sz="0"/>
              <w:bottom w:val="none" w:color="FFFFFF" w:sz="0"/>
              <w:right w:val="none" w:color="FFFFFF" w:sz="0"/>
            </w:tcBorders>
            <w:shd w:fill="EEF1FA" w:val="clear"/>
            <w:tcMar>
              <w:top w:type="dxa" w:w="120"/>
              <w:left w:type="dxa" w:w="220"/>
              <w:bottom w:type="dxa" w:w="120"/>
              <w:right w:type="dxa" w:w="160"/>
            </w:tcMar>
          </w:tcPr>
          <w:p>
            <w:pPr>
              <w:spacing w:after="40" w:before="0"/>
            </w:pPr>
            <w:r>
              <w:rPr>
                <w:rFonts w:ascii="Arial" w:cs="Arial" w:eastAsia="Arial" w:hAnsi="Arial"/>
                <w:b/>
                <w:bCs/>
                <w:caps/>
                <w:color w:val="1B2A6B"/>
                <w:sz w:val="18"/>
                <w:szCs w:val="18"/>
              </w:rPr>
              <w:t xml:space="preserve">93% GROSS MARGIN</w:t>
            </w:r>
          </w:p>
          <w:p>
            <w:pPr>
              <w:spacing w:after="0" w:before="0"/>
            </w:pPr>
            <w:r>
              <w:rPr>
                <w:rFonts w:ascii="Arial" w:cs="Arial" w:eastAsia="Arial" w:hAnsi="Arial"/>
                <w:color w:val="0D0D0D"/>
                <w:sz w:val="21"/>
                <w:szCs w:val="21"/>
              </w:rPr>
              <w:t xml:space="preserve">ComplianceVault is a software infrastructure company. Once the smart contract is deployed and the compliance stack is integrated, adding a new client costs under $9,000/year in variable cost while generating $100,000+ in management fees. This is the economics that institutional infrastructure businesses achieve.</w:t>
            </w:r>
          </w:p>
        </w:tc>
      </w:tr>
    </w:tbl>
    <w:p>
      <w:r>
        <w:br w:type="page"/>
      </w:r>
    </w:p>
    <w:p>
      <w:pPr>
        <w:pStyle w:val="Heading1"/>
        <w:pBdr>
          <w:bottom w:val="single" w:color="1B2A6B" w:sz="8" w:space="4"/>
        </w:pBdr>
        <w:spacing w:after="160" w:before="480"/>
      </w:pPr>
      <w:r>
        <w:rPr>
          <w:rFonts w:ascii="Arial" w:cs="Arial" w:eastAsia="Arial" w:hAnsi="Arial"/>
          <w:b/>
          <w:bCs/>
          <w:color w:val="1B2A6B"/>
          <w:sz w:val="40"/>
          <w:szCs w:val="40"/>
        </w:rPr>
        <w:t xml:space="preserve">5. Competitive Landscape &amp; Moat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62828" w:val="clear"/>
            <w:tcMar>
              <w:top w:type="dxa" w:w="0"/>
              <w:left w:type="dxa" w:w="0"/>
              <w:bottom w:type="dxa" w:w="0"/>
              <w:right w:type="dxa" w:w="0"/>
            </w:tcMar>
          </w:tcPr>
          <w:p>
            <w:pPr>
              <w:spacing w:after="0" w:before="0"/>
            </w:pPr>
            <w:r>
              <w:t xml:space="preserve"/>
            </w:r>
          </w:p>
        </w:tc>
        <w:tc>
          <w:tcPr>
            <w:tcW w:type="dxa" w:w="9160"/>
            <w:tcBorders>
              <w:top w:val="none" w:color="FFFFFF" w:sz="0"/>
              <w:left w:val="none" w:color="FFFFFF" w:sz="0"/>
              <w:bottom w:val="none" w:color="FFFFFF" w:sz="0"/>
              <w:right w:val="none" w:color="FFFFFF" w:sz="0"/>
            </w:tcBorders>
            <w:shd w:fill="FFEBEE" w:val="clear"/>
            <w:tcMar>
              <w:top w:type="dxa" w:w="120"/>
              <w:left w:type="dxa" w:w="220"/>
              <w:bottom w:type="dxa" w:w="120"/>
              <w:right w:type="dxa" w:w="160"/>
            </w:tcMar>
          </w:tcPr>
          <w:p>
            <w:pPr>
              <w:spacing w:after="40" w:before="0"/>
            </w:pPr>
            <w:r>
              <w:rPr>
                <w:rFonts w:ascii="Arial" w:cs="Arial" w:eastAsia="Arial" w:hAnsi="Arial"/>
                <w:b/>
                <w:bCs/>
                <w:caps/>
                <w:color w:val="C62828"/>
                <w:sz w:val="18"/>
                <w:szCs w:val="18"/>
              </w:rPr>
              <w:t xml:space="preserve">ISKOLD RULE</w:t>
            </w:r>
          </w:p>
          <w:p>
            <w:pPr>
              <w:spacing w:after="0" w:before="0"/>
            </w:pPr>
            <w:r>
              <w:rPr>
                <w:rFonts w:ascii="Arial" w:cs="Arial" w:eastAsia="Arial" w:hAnsi="Arial"/>
                <w:color w:val="0D0D0D"/>
                <w:sz w:val="21"/>
                <w:szCs w:val="21"/>
              </w:rPr>
              <w:t xml:space="preserve">Name your competitors and explain their strengths before explaining your advantage. Never say no competition exists — VCs hear 'no market.' Never say competitors are dumb — AMINA Bank judges have likely met those competitors.</w:t>
            </w:r>
          </w:p>
        </w:tc>
      </w:tr>
    </w:tbl>
    <w:p>
      <w:pPr>
        <w:spacing w:after="0" w:before="60"/>
      </w:pPr>
      <w:r>
        <w:t xml:space="preserve"/>
      </w:r>
    </w:p>
    <w:p>
      <w:pPr>
        <w:pStyle w:val="Heading2"/>
        <w:spacing w:after="100" w:before="300"/>
      </w:pPr>
      <w:r>
        <w:rPr>
          <w:rFonts w:ascii="Arial" w:cs="Arial" w:eastAsia="Arial" w:hAnsi="Arial"/>
          <w:b/>
          <w:bCs/>
          <w:color w:val="1B2A6B"/>
          <w:sz w:val="28"/>
          <w:szCs w:val="28"/>
        </w:rPr>
        <w:t xml:space="preserve">5.1  Competitor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234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Strength</w:t>
            </w:r>
          </w:p>
        </w:tc>
        <w:tc>
          <w:tcPr>
            <w:tcW w:type="dxa" w:w="234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Fatal Weakness</w:t>
            </w:r>
          </w:p>
        </w:tc>
        <w:tc>
          <w:tcPr>
            <w:tcW w:type="dxa" w:w="234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ComplianceVault's Edge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Maple Finance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$2B+ deployed, institutional brand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 Solana, no PDA segregation, funds comingled in smart contracts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On-chain fund segregation per depositor — cryptographic proof of isolation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Centrifuge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RWA focus, DeFi native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No institutional KYC gate at contract level, regulatory grey area</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Civic Pass KYC enforced at Anchor instruction level — cannot be bypassed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Clearpool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Institutional credit markets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Credit risk focus, not treasury yield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 are risk-free treasury deployment, not lending</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Fireblocks (Prime)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Industry-standard custody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Custody only — no yield strategy, no compliance vault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We complement Fireblocks, we use their NCW API — and we offer yield on top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TradFi prime brokerage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Trusted, regulated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0.5% yield on USDC — vs our 4–12%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The entire reason ComplianceVault exists is to beat this number</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Ondo Finance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RWA yield products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Not permissioned per depositor, US regulatory exposure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We are FINMA-aligned, Swiss regulatory framework, on-chain audit trail</w:t>
            </w:r>
          </w:p>
        </w:tc>
      </w:tr>
    </w:tbl>
    <w:p>
      <w:pPr>
        <w:spacing w:after="0" w:before="60"/>
      </w:pPr>
      <w:r>
        <w:t xml:space="preserve"/>
      </w:r>
    </w:p>
    <w:p>
      <w:pPr>
        <w:pStyle w:val="Heading2"/>
        <w:spacing w:after="100" w:before="300"/>
      </w:pPr>
      <w:r>
        <w:rPr>
          <w:rFonts w:ascii="Arial" w:cs="Arial" w:eastAsia="Arial" w:hAnsi="Arial"/>
          <w:b/>
          <w:bCs/>
          <w:color w:val="1B2A6B"/>
          <w:sz w:val="28"/>
          <w:szCs w:val="28"/>
        </w:rPr>
        <w:t xml:space="preserve">5.2  Your Moats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B2A6B" w:val="clear"/>
            <w:tcMar>
              <w:top w:type="dxa" w:w="0"/>
              <w:left w:type="dxa" w:w="0"/>
              <w:bottom w:type="dxa" w:w="0"/>
              <w:right w:type="dxa" w:w="0"/>
            </w:tcMar>
          </w:tcPr>
          <w:p>
            <w:pPr>
              <w:spacing w:after="0" w:before="120"/>
              <w:jc w:val="center"/>
            </w:pPr>
            <w:r>
              <w:rPr>
                <w:rFonts w:ascii="Arial" w:cs="Arial" w:eastAsia="Arial" w:hAnsi="Arial"/>
                <w:b/>
                <w:bCs/>
                <w:caps/>
                <w:color w:val="FFFFFF"/>
                <w:sz w:val="28"/>
                <w:szCs w:val="28"/>
              </w:rPr>
              <w:t xml:space="preserve">1</w:t>
            </w:r>
          </w:p>
          <w:p>
            <w:pPr>
              <w:spacing w:after="0" w:before="0"/>
              <w:jc w:val="center"/>
            </w:pPr>
            <w:r>
              <w:rPr>
                <w:rFonts w:ascii="Arial" w:cs="Arial" w:eastAsia="Arial" w:hAnsi="Arial"/>
                <w:caps/>
                <w:color w:val="EEEEEE"/>
                <w:sz w:val="16"/>
                <w:szCs w:val="16"/>
              </w:rPr>
              <w:t xml:space="preserve">PHASE</w:t>
            </w:r>
          </w:p>
        </w:tc>
        <w:tc>
          <w:tcPr>
            <w:tcW w:type="dxa" w:w="8960"/>
            <w:tcBorders>
              <w:top w:val="none" w:color="FFFFFF" w:sz="0"/>
              <w:left w:val="none" w:color="FFFFFF" w:sz="0"/>
              <w:bottom w:val="none" w:color="FFFFFF" w:sz="0"/>
              <w:right w:val="none" w:color="FFFFFF" w:sz="0"/>
            </w:tcBorders>
            <w:shd w:fill="EEF1FA" w:val="clear"/>
            <w:tcMar>
              <w:top w:type="dxa" w:w="120"/>
              <w:left w:type="dxa" w:w="240"/>
              <w:bottom w:type="dxa" w:w="120"/>
              <w:right w:type="dxa" w:w="160"/>
            </w:tcMar>
          </w:tcPr>
          <w:p>
            <w:pPr>
              <w:spacing w:after="60" w:before="0"/>
            </w:pPr>
            <w:r>
              <w:rPr>
                <w:rFonts w:ascii="Arial" w:cs="Arial" w:eastAsia="Arial" w:hAnsi="Arial"/>
                <w:b/>
                <w:bCs/>
                <w:color w:val="1B2A6B"/>
                <w:sz w:val="24"/>
                <w:szCs w:val="24"/>
              </w:rPr>
              <w:t xml:space="preserve">On-Chain KYC Enforcement — Technical Moat</w:t>
            </w:r>
          </w:p>
          <w:p>
            <w:pPr>
              <w:pStyle w:val="ListParagraph"/>
              <w:numPr>
                <w:ilvl w:val="0"/>
                <w:numId w:val="2"/>
              </w:numPr>
              <w:spacing w:after="30" w:before="30"/>
            </w:pPr>
            <w:r>
              <w:rPr>
                <w:rFonts w:ascii="Arial" w:cs="Arial" w:eastAsia="Arial" w:hAnsi="Arial"/>
                <w:sz w:val="20"/>
                <w:szCs w:val="20"/>
              </w:rPr>
              <w:t xml:space="preserve">ComplianceVault enforces KYC at the Solana smart contract instruction level via Civic Pass CPI — not at the UI or API layer</w:t>
            </w:r>
          </w:p>
          <w:p>
            <w:pPr>
              <w:pStyle w:val="ListParagraph"/>
              <w:numPr>
                <w:ilvl w:val="0"/>
                <w:numId w:val="2"/>
              </w:numPr>
              <w:spacing w:after="30" w:before="30"/>
            </w:pPr>
            <w:r>
              <w:rPr>
                <w:rFonts w:ascii="Arial" w:cs="Arial" w:eastAsia="Arial" w:hAnsi="Arial"/>
                <w:sz w:val="20"/>
                <w:szCs w:val="20"/>
              </w:rPr>
              <w:t xml:space="preserve">This means compliance cannot be bypassed. A user without a valid Civic Pass cannot call the deposit instruction. Period.</w:t>
            </w:r>
          </w:p>
          <w:p>
            <w:pPr>
              <w:pStyle w:val="ListParagraph"/>
              <w:numPr>
                <w:ilvl w:val="0"/>
                <w:numId w:val="2"/>
              </w:numPr>
              <w:spacing w:after="30" w:before="30"/>
            </w:pPr>
            <w:r>
              <w:rPr>
                <w:rFonts w:ascii="Arial" w:cs="Arial" w:eastAsia="Arial" w:hAnsi="Arial"/>
                <w:sz w:val="20"/>
                <w:szCs w:val="20"/>
              </w:rPr>
              <w:t xml:space="preserve">No other institutional DeFi vault on Solana has implemented this architecture</w:t>
            </w:r>
          </w:p>
          <w:p>
            <w:pPr>
              <w:pStyle w:val="ListParagraph"/>
              <w:numPr>
                <w:ilvl w:val="0"/>
                <w:numId w:val="2"/>
              </w:numPr>
              <w:spacing w:after="30" w:before="30"/>
            </w:pPr>
            <w:r>
              <w:rPr>
                <w:rFonts w:ascii="Arial" w:cs="Arial" w:eastAsia="Arial" w:hAnsi="Arial"/>
                <w:sz w:val="20"/>
                <w:szCs w:val="20"/>
              </w:rPr>
              <w:t xml:space="preserve">This is a technical barrier to entry that takes months to replicate correctly</w:t>
            </w:r>
          </w:p>
        </w:tc>
      </w:tr>
    </w:tbl>
    <w:p>
      <w:pPr>
        <w:spacing w:after="0" w:before="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6064" w:val="clear"/>
            <w:tcMar>
              <w:top w:type="dxa" w:w="0"/>
              <w:left w:type="dxa" w:w="0"/>
              <w:bottom w:type="dxa" w:w="0"/>
              <w:right w:type="dxa" w:w="0"/>
            </w:tcMar>
          </w:tcPr>
          <w:p>
            <w:pPr>
              <w:spacing w:after="0" w:before="120"/>
              <w:jc w:val="center"/>
            </w:pPr>
            <w:r>
              <w:rPr>
                <w:rFonts w:ascii="Arial" w:cs="Arial" w:eastAsia="Arial" w:hAnsi="Arial"/>
                <w:b/>
                <w:bCs/>
                <w:caps/>
                <w:color w:val="FFFFFF"/>
                <w:sz w:val="28"/>
                <w:szCs w:val="28"/>
              </w:rPr>
              <w:t xml:space="preserve">2</w:t>
            </w:r>
          </w:p>
          <w:p>
            <w:pPr>
              <w:spacing w:after="0" w:before="0"/>
              <w:jc w:val="center"/>
            </w:pPr>
            <w:r>
              <w:rPr>
                <w:rFonts w:ascii="Arial" w:cs="Arial" w:eastAsia="Arial" w:hAnsi="Arial"/>
                <w:caps/>
                <w:color w:val="EEEEEE"/>
                <w:sz w:val="16"/>
                <w:szCs w:val="16"/>
              </w:rPr>
              <w:t xml:space="preserve">PHASE</w:t>
            </w:r>
          </w:p>
        </w:tc>
        <w:tc>
          <w:tcPr>
            <w:tcW w:type="dxa" w:w="8960"/>
            <w:tcBorders>
              <w:top w:val="none" w:color="FFFFFF" w:sz="0"/>
              <w:left w:val="none" w:color="FFFFFF" w:sz="0"/>
              <w:bottom w:val="none" w:color="FFFFFF" w:sz="0"/>
              <w:right w:val="none" w:color="FFFFFF" w:sz="0"/>
            </w:tcBorders>
            <w:shd w:fill="E0F7FA" w:val="clear"/>
            <w:tcMar>
              <w:top w:type="dxa" w:w="120"/>
              <w:left w:type="dxa" w:w="240"/>
              <w:bottom w:type="dxa" w:w="120"/>
              <w:right w:type="dxa" w:w="160"/>
            </w:tcMar>
          </w:tcPr>
          <w:p>
            <w:pPr>
              <w:spacing w:after="60" w:before="0"/>
            </w:pPr>
            <w:r>
              <w:rPr>
                <w:rFonts w:ascii="Arial" w:cs="Arial" w:eastAsia="Arial" w:hAnsi="Arial"/>
                <w:b/>
                <w:bCs/>
                <w:color w:val="006064"/>
                <w:sz w:val="24"/>
                <w:szCs w:val="24"/>
              </w:rPr>
              <w:t xml:space="preserve">PDA-Level Fund Segregation — Legal Moat</w:t>
            </w:r>
          </w:p>
          <w:p>
            <w:pPr>
              <w:pStyle w:val="ListParagraph"/>
              <w:numPr>
                <w:ilvl w:val="0"/>
                <w:numId w:val="2"/>
              </w:numPr>
              <w:spacing w:after="30" w:before="30"/>
            </w:pPr>
            <w:r>
              <w:rPr>
                <w:rFonts w:ascii="Arial" w:cs="Arial" w:eastAsia="Arial" w:hAnsi="Arial"/>
                <w:sz w:val="20"/>
                <w:szCs w:val="20"/>
              </w:rPr>
              <w:t xml:space="preserve">Each depositor's funds are held in a cryptographically isolated PDA sub-vault — their account cannot commingle with another depositor's funds at the smart contract level</w:t>
            </w:r>
          </w:p>
          <w:p>
            <w:pPr>
              <w:pStyle w:val="ListParagraph"/>
              <w:numPr>
                <w:ilvl w:val="0"/>
                <w:numId w:val="2"/>
              </w:numPr>
              <w:spacing w:after="30" w:before="30"/>
            </w:pPr>
            <w:r>
              <w:rPr>
                <w:rFonts w:ascii="Arial" w:cs="Arial" w:eastAsia="Arial" w:hAnsi="Arial"/>
                <w:sz w:val="20"/>
                <w:szCs w:val="20"/>
              </w:rPr>
              <w:t xml:space="preserve">This is the answer to the regulator's #1 question: 'What happens to my funds if another depositor defaults?'</w:t>
            </w:r>
          </w:p>
          <w:p>
            <w:pPr>
              <w:pStyle w:val="ListParagraph"/>
              <w:numPr>
                <w:ilvl w:val="0"/>
                <w:numId w:val="2"/>
              </w:numPr>
              <w:spacing w:after="30" w:before="30"/>
            </w:pPr>
            <w:r>
              <w:rPr>
                <w:rFonts w:ascii="Arial" w:cs="Arial" w:eastAsia="Arial" w:hAnsi="Arial"/>
                <w:sz w:val="20"/>
                <w:szCs w:val="20"/>
              </w:rPr>
              <w:t xml:space="preserve">On-chain Merkle attestation provides selective disclosure for regulatory audits — FINMA, SEC, MAS</w:t>
            </w:r>
          </w:p>
          <w:p>
            <w:pPr>
              <w:pStyle w:val="ListParagraph"/>
              <w:numPr>
                <w:ilvl w:val="0"/>
                <w:numId w:val="2"/>
              </w:numPr>
              <w:spacing w:after="30" w:before="30"/>
            </w:pPr>
            <w:r>
              <w:rPr>
                <w:rFonts w:ascii="Arial" w:cs="Arial" w:eastAsia="Arial" w:hAnsi="Arial"/>
                <w:sz w:val="20"/>
                <w:szCs w:val="20"/>
              </w:rPr>
              <w:t xml:space="preserve">No competitor offers on-chain source-of-funds attestation with per-depositor segregation</w:t>
            </w:r>
          </w:p>
        </w:tc>
      </w:tr>
    </w:tbl>
    <w:p>
      <w:pPr>
        <w:spacing w:after="0" w:before="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65100" w:val="clear"/>
            <w:tcMar>
              <w:top w:type="dxa" w:w="0"/>
              <w:left w:type="dxa" w:w="0"/>
              <w:bottom w:type="dxa" w:w="0"/>
              <w:right w:type="dxa" w:w="0"/>
            </w:tcMar>
          </w:tcPr>
          <w:p>
            <w:pPr>
              <w:spacing w:after="0" w:before="120"/>
              <w:jc w:val="center"/>
            </w:pPr>
            <w:r>
              <w:rPr>
                <w:rFonts w:ascii="Arial" w:cs="Arial" w:eastAsia="Arial" w:hAnsi="Arial"/>
                <w:b/>
                <w:bCs/>
                <w:caps/>
                <w:color w:val="FFFFFF"/>
                <w:sz w:val="28"/>
                <w:szCs w:val="28"/>
              </w:rPr>
              <w:t xml:space="preserve">3</w:t>
            </w:r>
          </w:p>
          <w:p>
            <w:pPr>
              <w:spacing w:after="0" w:before="0"/>
              <w:jc w:val="center"/>
            </w:pPr>
            <w:r>
              <w:rPr>
                <w:rFonts w:ascii="Arial" w:cs="Arial" w:eastAsia="Arial" w:hAnsi="Arial"/>
                <w:caps/>
                <w:color w:val="EEEEEE"/>
                <w:sz w:val="16"/>
                <w:szCs w:val="16"/>
              </w:rPr>
              <w:t xml:space="preserve">PHASE</w:t>
            </w:r>
          </w:p>
        </w:tc>
        <w:tc>
          <w:tcPr>
            <w:tcW w:type="dxa" w:w="8960"/>
            <w:tcBorders>
              <w:top w:val="none" w:color="FFFFFF" w:sz="0"/>
              <w:left w:val="none" w:color="FFFFFF" w:sz="0"/>
              <w:bottom w:val="none" w:color="FFFFFF" w:sz="0"/>
              <w:right w:val="none" w:color="FFFFFF" w:sz="0"/>
            </w:tcBorders>
            <w:shd w:fill="FFF3E0" w:val="clear"/>
            <w:tcMar>
              <w:top w:type="dxa" w:w="120"/>
              <w:left w:type="dxa" w:w="240"/>
              <w:bottom w:type="dxa" w:w="120"/>
              <w:right w:type="dxa" w:w="160"/>
            </w:tcMar>
          </w:tcPr>
          <w:p>
            <w:pPr>
              <w:spacing w:after="60" w:before="0"/>
            </w:pPr>
            <w:r>
              <w:rPr>
                <w:rFonts w:ascii="Arial" w:cs="Arial" w:eastAsia="Arial" w:hAnsi="Arial"/>
                <w:b/>
                <w:bCs/>
                <w:color w:val="E65100"/>
                <w:sz w:val="24"/>
                <w:szCs w:val="24"/>
              </w:rPr>
              <w:t xml:space="preserve">Institutional Switching Cost — Business Moat</w:t>
            </w:r>
          </w:p>
          <w:p>
            <w:pPr>
              <w:pStyle w:val="ListParagraph"/>
              <w:numPr>
                <w:ilvl w:val="0"/>
                <w:numId w:val="2"/>
              </w:numPr>
              <w:spacing w:after="30" w:before="30"/>
            </w:pPr>
            <w:r>
              <w:rPr>
                <w:rFonts w:ascii="Arial" w:cs="Arial" w:eastAsia="Arial" w:hAnsi="Arial"/>
                <w:sz w:val="20"/>
                <w:szCs w:val="20"/>
              </w:rPr>
              <w:t xml:space="preserve">Once a bank's depositors are KYC-verified in our system and their compliance history is on-chain, switching to a competitor means re-verifying from zero</w:t>
            </w:r>
          </w:p>
          <w:p>
            <w:pPr>
              <w:pStyle w:val="ListParagraph"/>
              <w:numPr>
                <w:ilvl w:val="0"/>
                <w:numId w:val="2"/>
              </w:numPr>
              <w:spacing w:after="30" w:before="30"/>
            </w:pPr>
            <w:r>
              <w:rPr>
                <w:rFonts w:ascii="Arial" w:cs="Arial" w:eastAsia="Arial" w:hAnsi="Arial"/>
                <w:sz w:val="20"/>
                <w:szCs w:val="20"/>
              </w:rPr>
              <w:t xml:space="preserve">FINMA audit reports generated quarterly become part of the institution's regulatory record — tied to ComplianceVault's program ID</w:t>
            </w:r>
          </w:p>
          <w:p>
            <w:pPr>
              <w:pStyle w:val="ListParagraph"/>
              <w:numPr>
                <w:ilvl w:val="0"/>
                <w:numId w:val="2"/>
              </w:numPr>
              <w:spacing w:after="30" w:before="30"/>
            </w:pPr>
            <w:r>
              <w:rPr>
                <w:rFonts w:ascii="Arial" w:cs="Arial" w:eastAsia="Arial" w:hAnsi="Arial"/>
                <w:sz w:val="20"/>
                <w:szCs w:val="20"/>
              </w:rPr>
              <w:t xml:space="preserve">Fireblocks Policy Engine rules configured for ComplianceVault vault interactions are customised — rebuilding this costs 3–6 months of enterprise sales and integration</w:t>
            </w:r>
          </w:p>
          <w:p>
            <w:pPr>
              <w:pStyle w:val="ListParagraph"/>
              <w:numPr>
                <w:ilvl w:val="0"/>
                <w:numId w:val="2"/>
              </w:numPr>
              <w:spacing w:after="30" w:before="30"/>
            </w:pPr>
            <w:r>
              <w:rPr>
                <w:rFonts w:ascii="Arial" w:cs="Arial" w:eastAsia="Arial" w:hAnsi="Arial"/>
                <w:sz w:val="20"/>
                <w:szCs w:val="20"/>
              </w:rPr>
              <w:t xml:space="preserve">AUM stickiness: institutional AUM does not churn month-to-month — once placed, it stays</w:t>
            </w:r>
          </w:p>
        </w:tc>
      </w:tr>
    </w:tbl>
    <w:p>
      <w:pPr>
        <w:spacing w:after="0" w:before="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5C3F" w:val="clear"/>
            <w:tcMar>
              <w:top w:type="dxa" w:w="0"/>
              <w:left w:type="dxa" w:w="0"/>
              <w:bottom w:type="dxa" w:w="0"/>
              <w:right w:type="dxa" w:w="0"/>
            </w:tcMar>
          </w:tcPr>
          <w:p>
            <w:pPr>
              <w:spacing w:after="0" w:before="120"/>
              <w:jc w:val="center"/>
            </w:pPr>
            <w:r>
              <w:rPr>
                <w:rFonts w:ascii="Arial" w:cs="Arial" w:eastAsia="Arial" w:hAnsi="Arial"/>
                <w:b/>
                <w:bCs/>
                <w:caps/>
                <w:color w:val="FFFFFF"/>
                <w:sz w:val="28"/>
                <w:szCs w:val="28"/>
              </w:rPr>
              <w:t xml:space="preserve">4</w:t>
            </w:r>
          </w:p>
          <w:p>
            <w:pPr>
              <w:spacing w:after="0" w:before="0"/>
              <w:jc w:val="center"/>
            </w:pPr>
            <w:r>
              <w:rPr>
                <w:rFonts w:ascii="Arial" w:cs="Arial" w:eastAsia="Arial" w:hAnsi="Arial"/>
                <w:caps/>
                <w:color w:val="EEEEEE"/>
                <w:sz w:val="16"/>
                <w:szCs w:val="16"/>
              </w:rPr>
              <w:t xml:space="preserve">PHASE</w:t>
            </w:r>
          </w:p>
        </w:tc>
        <w:tc>
          <w:tcPr>
            <w:tcW w:type="dxa" w:w="8960"/>
            <w:tcBorders>
              <w:top w:val="none" w:color="FFFFFF" w:sz="0"/>
              <w:left w:val="none" w:color="FFFFFF" w:sz="0"/>
              <w:bottom w:val="none" w:color="FFFFFF" w:sz="0"/>
              <w:right w:val="none" w:color="FFFFFF" w:sz="0"/>
            </w:tcBorders>
            <w:shd w:fill="E8F5EF" w:val="clear"/>
            <w:tcMar>
              <w:top w:type="dxa" w:w="120"/>
              <w:left w:type="dxa" w:w="240"/>
              <w:bottom w:type="dxa" w:w="120"/>
              <w:right w:type="dxa" w:w="160"/>
            </w:tcMar>
          </w:tcPr>
          <w:p>
            <w:pPr>
              <w:spacing w:after="60" w:before="0"/>
            </w:pPr>
            <w:r>
              <w:rPr>
                <w:rFonts w:ascii="Arial" w:cs="Arial" w:eastAsia="Arial" w:hAnsi="Arial"/>
                <w:b/>
                <w:bCs/>
                <w:color w:val="005C3F"/>
                <w:sz w:val="24"/>
                <w:szCs w:val="24"/>
              </w:rPr>
              <w:t xml:space="preserve">Regulatory Timing — Market Moat</w:t>
            </w:r>
          </w:p>
          <w:p>
            <w:pPr>
              <w:pStyle w:val="ListParagraph"/>
              <w:numPr>
                <w:ilvl w:val="0"/>
                <w:numId w:val="2"/>
              </w:numPr>
              <w:spacing w:after="30" w:before="30"/>
            </w:pPr>
            <w:r>
              <w:rPr>
                <w:rFonts w:ascii="Arial" w:cs="Arial" w:eastAsia="Arial" w:hAnsi="Arial"/>
                <w:sz w:val="20"/>
                <w:szCs w:val="20"/>
              </w:rPr>
              <w:t xml:space="preserve">GENIUS Act (US, June 2025), Hong Kong Stablecoin Bill (August 2025), Swiss MiCA alignment — all passed. Institutions are NOW legally cleared.</w:t>
            </w:r>
          </w:p>
          <w:p>
            <w:pPr>
              <w:pStyle w:val="ListParagraph"/>
              <w:numPr>
                <w:ilvl w:val="0"/>
                <w:numId w:val="2"/>
              </w:numPr>
              <w:spacing w:after="30" w:before="30"/>
            </w:pPr>
            <w:r>
              <w:rPr>
                <w:rFonts w:ascii="Arial" w:cs="Arial" w:eastAsia="Arial" w:hAnsi="Arial"/>
                <w:sz w:val="20"/>
                <w:szCs w:val="20"/>
              </w:rPr>
              <w:t xml:space="preserve">We are launching at the exact moment the regulatory window opened. First-mover advantage in compliant institutional DeFi on Solana.</w:t>
            </w:r>
          </w:p>
          <w:p>
            <w:pPr>
              <w:pStyle w:val="ListParagraph"/>
              <w:numPr>
                <w:ilvl w:val="0"/>
                <w:numId w:val="2"/>
              </w:numPr>
              <w:spacing w:after="30" w:before="30"/>
            </w:pPr>
            <w:r>
              <w:rPr>
                <w:rFonts w:ascii="Arial" w:cs="Arial" w:eastAsia="Arial" w:hAnsi="Arial"/>
                <w:sz w:val="20"/>
                <w:szCs w:val="20"/>
              </w:rPr>
              <w:t xml:space="preserve">The next 18 months are the land-grab. Institutions choosing a compliant vault partner in 2026 are likely to stay for 5+ years.</w:t>
            </w:r>
          </w:p>
        </w:tc>
      </w:tr>
    </w:tbl>
    <w:p>
      <w:r>
        <w:br w:type="page"/>
      </w:r>
    </w:p>
    <w:p>
      <w:pPr>
        <w:pStyle w:val="Heading1"/>
        <w:pBdr>
          <w:bottom w:val="single" w:color="1B2A6B" w:sz="8" w:space="4"/>
        </w:pBdr>
        <w:spacing w:after="160" w:before="480"/>
      </w:pPr>
      <w:r>
        <w:rPr>
          <w:rFonts w:ascii="Arial" w:cs="Arial" w:eastAsia="Arial" w:hAnsi="Arial"/>
          <w:b/>
          <w:bCs/>
          <w:color w:val="1B2A6B"/>
          <w:sz w:val="40"/>
          <w:szCs w:val="40"/>
        </w:rPr>
        <w:t xml:space="preserve">6. StableHacks 2026 — Win Strategy</w:t>
      </w:r>
    </w:p>
    <w:p>
      <w:pPr>
        <w:pStyle w:val="Heading2"/>
        <w:spacing w:after="100" w:before="300"/>
      </w:pPr>
      <w:r>
        <w:rPr>
          <w:rFonts w:ascii="Arial" w:cs="Arial" w:eastAsia="Arial" w:hAnsi="Arial"/>
          <w:b/>
          <w:bCs/>
          <w:color w:val="1B2A6B"/>
          <w:sz w:val="28"/>
          <w:szCs w:val="28"/>
        </w:rPr>
        <w:t xml:space="preserve">6.1  Why Track 1 (Institutional Permissioned DeFi Vaults) Is Yours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Judging Criterion</w:t>
            </w:r>
          </w:p>
        </w:tc>
        <w:tc>
          <w:tcPr>
            <w:tcW w:type="dxa" w:w="312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What AMINA Bank Judges Want</w:t>
            </w:r>
          </w:p>
        </w:tc>
        <w:tc>
          <w:tcPr>
            <w:tcW w:type="dxa" w:w="312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How ComplianceVault Delivers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Team Execution &amp; Technical Readiness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Working Anchor program, deployed on devnet, real compliance stack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Anchor program deployed Day 3. TRM Labs + Notabene + Civic Pass + Fireblocks — all live.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Institutional Fit &amp; Compliance Awareness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Must understand FINMA, FATF R.16, MiCA — not just mention them</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All 4 compliance pillars built into the architecture, not bolted 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Stablecoin Infrastructure Innovativeness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Something new that solves a real institutional gap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PDA-level fund segregation with on-chain KYC — no one else has this on Solana</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Scalability &amp; Adoption Potential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Can AMINA Bank use this in a real pilot?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Built specifically for AMINA Bank's use case. Private-label ready.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Submission Clarity &amp; Completeness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Professional documentation, demo video, technical overview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Two Loom videos + GitHub + README + PDF report in the demo</w:t>
            </w:r>
          </w:p>
        </w:tc>
      </w:tr>
    </w:tbl>
    <w:p>
      <w:pPr>
        <w:spacing w:after="0" w:before="60"/>
      </w:pPr>
      <w:r>
        <w:t xml:space="preserve"/>
      </w:r>
    </w:p>
    <w:p>
      <w:pPr>
        <w:pStyle w:val="Heading2"/>
        <w:spacing w:after="100" w:before="300"/>
      </w:pPr>
      <w:r>
        <w:rPr>
          <w:rFonts w:ascii="Arial" w:cs="Arial" w:eastAsia="Arial" w:hAnsi="Arial"/>
          <w:b/>
          <w:bCs/>
          <w:color w:val="1B2A6B"/>
          <w:sz w:val="28"/>
          <w:szCs w:val="28"/>
        </w:rPr>
        <w:t xml:space="preserve">6.2  The 3-Minute Demo Script — Exact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312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312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Screen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0:00–0:20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 I am [Name] from ComplianceVault. AMINA Bank holds $200 million in USDC earning 0.3% at their prime broker. Compliant DeFi strategies yield 6 to 12%. That is a $12 to $23 million gap per year — trapped by regulation, not by technology. ComplianceVault closes that gap.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Face to camera</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0:20–0:50</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 am going to connect a Phantom wallet — this represents an AMINA Bank institutional client. Watch the compliance badge in the top nav. It just turned green — our system detected a valid Civic Pass. KYC verified at the smart contract level. Not the UI level. The contract.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Connect wallet. Show KYC badge animate to green.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0:50–1:30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 will deposit $5,000 USDC. Watch the three-step compliance flow: TRM Labs AML screening — passed. Civic Pass KYC — verified on-chain. Fireblocks approval — Policy Engine confirmed. Now I sign. The transaction is on Solana devnet. Here is the explorer link — 400 milliseconds to confirm. Our Anchor program enforced every compliance check before the token moved.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Walk through deposit. Show Solana explorer.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1:30–1:50</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Now the Compliance page. Four pillars: KYC — Civic Pass verified. AML — TRM Labs screened. Travel Rule — Notabene IVMS-101 compliant. Source of Funds — SHA-256 hash on-chain. I click Generate FINMA Report. In 3 seconds, a PDF downloads that looks like this. This is what AMINA Bank sends to FINMA.</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Show compliance page. Download PDF. Show 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1:50–2:15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Here is the architecture that makes this impossible to bypass. Every depositor gets a cryptographically isolated PDA sub-vault. These accounts cannot commingle funds at the smart contract level. If another depositor defaults, your funds are untouched — provably, on-chain. This is the answer to every regulator's first question.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Show architecture diagram or PDA diagram.</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2:15–2:40</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The business: $100,000 per client per year in management fees at $50M AUM. 93% gross margin. 5 clients in Year 1 is $635K revenue. 50 clients is $6.75M ARR. We are ready for the AMINA Bank pilot today.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Show revenue table.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2:40–3:00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 are 4 engineers who built this compliance stack in 9 days. We have implemented every requirement AMINA Bank and FINMA need. We are not pitching a concept — we are pitching a working product. ComplianceVault.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Team slide. Logo.</w:t>
            </w:r>
          </w:p>
        </w:tc>
      </w:tr>
    </w:tbl>
    <w:p>
      <w:r>
        <w:br w:type="page"/>
      </w:r>
    </w:p>
    <w:p>
      <w:pPr>
        <w:pStyle w:val="Heading1"/>
        <w:pBdr>
          <w:bottom w:val="single" w:color="1B2A6B" w:sz="8" w:space="4"/>
        </w:pBdr>
        <w:spacing w:after="160" w:before="480"/>
      </w:pPr>
      <w:r>
        <w:rPr>
          <w:rFonts w:ascii="Arial" w:cs="Arial" w:eastAsia="Arial" w:hAnsi="Arial"/>
          <w:b/>
          <w:bCs/>
          <w:color w:val="1B2A6B"/>
          <w:sz w:val="40"/>
          <w:szCs w:val="40"/>
        </w:rPr>
        <w:t xml:space="preserve">7. Post-Hackathon — Accelerator &amp; Investor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B2A6B" w:val="clear"/>
            <w:tcMar>
              <w:top w:type="dxa" w:w="0"/>
              <w:left w:type="dxa" w:w="0"/>
              <w:bottom w:type="dxa" w:w="0"/>
              <w:right w:type="dxa" w:w="0"/>
            </w:tcMar>
          </w:tcPr>
          <w:p>
            <w:pPr>
              <w:spacing w:after="0" w:before="0"/>
            </w:pPr>
            <w:r>
              <w:t xml:space="preserve"/>
            </w:r>
          </w:p>
        </w:tc>
        <w:tc>
          <w:tcPr>
            <w:tcW w:type="dxa" w:w="9160"/>
            <w:tcBorders>
              <w:top w:val="none" w:color="FFFFFF" w:sz="0"/>
              <w:left w:val="none" w:color="FFFFFF" w:sz="0"/>
              <w:bottom w:val="none" w:color="FFFFFF" w:sz="0"/>
              <w:right w:val="none" w:color="FFFFFF" w:sz="0"/>
            </w:tcBorders>
            <w:shd w:fill="EEF1FA" w:val="clear"/>
            <w:tcMar>
              <w:top w:type="dxa" w:w="120"/>
              <w:left w:type="dxa" w:w="220"/>
              <w:bottom w:type="dxa" w:w="120"/>
              <w:right w:type="dxa" w:w="160"/>
            </w:tcMar>
          </w:tcPr>
          <w:p>
            <w:pPr>
              <w:spacing w:after="40" w:before="0"/>
            </w:pPr>
            <w:r>
              <w:rPr>
                <w:rFonts w:ascii="Arial" w:cs="Arial" w:eastAsia="Arial" w:hAnsi="Arial"/>
                <w:b/>
                <w:bCs/>
                <w:caps/>
                <w:color w:val="1B2A6B"/>
                <w:sz w:val="18"/>
                <w:szCs w:val="18"/>
              </w:rPr>
              <w:t xml:space="preserve">KEY INSIGHT</w:t>
            </w:r>
          </w:p>
          <w:p>
            <w:pPr>
              <w:spacing w:after="0" w:before="0"/>
            </w:pPr>
            <w:r>
              <w:rPr>
                <w:rFonts w:ascii="Arial" w:cs="Arial" w:eastAsia="Arial" w:hAnsi="Arial"/>
                <w:color w:val="0D0D0D"/>
                <w:sz w:val="21"/>
                <w:szCs w:val="21"/>
              </w:rPr>
              <w:t xml:space="preserve">A StableHacks win or strong finish gives you a direct warm lead to AMINA Bank, Solana Foundation, UBS (judge panel), Fireblocks, Keyrock, and Steakhouse Financial. These are not cold leads — they watched your demo live. Email every one of them within 24 hours of results. That email is more valuable than any cold VC outreach.</w:t>
            </w:r>
          </w:p>
        </w:tc>
      </w:tr>
    </w:tbl>
    <w:p>
      <w:pPr>
        <w:spacing w:after="0" w:before="60"/>
      </w:pPr>
      <w:r>
        <w:t xml:space="preserve"/>
      </w:r>
    </w:p>
    <w:p>
      <w:pPr>
        <w:pStyle w:val="Heading2"/>
        <w:spacing w:after="100" w:before="300"/>
      </w:pPr>
      <w:r>
        <w:rPr>
          <w:rFonts w:ascii="Arial" w:cs="Arial" w:eastAsia="Arial" w:hAnsi="Arial"/>
          <w:b/>
          <w:bCs/>
          <w:color w:val="1B2A6B"/>
          <w:sz w:val="28"/>
          <w:szCs w:val="28"/>
        </w:rPr>
        <w:t xml:space="preserve">7.1  Accelerator Targets — Institutional DeFi Focus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Program</w:t>
            </w:r>
          </w:p>
        </w:tc>
        <w:tc>
          <w:tcPr>
            <w:tcW w:type="dxa" w:w="234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Why It Fits</w:t>
            </w:r>
          </w:p>
        </w:tc>
        <w:tc>
          <w:tcPr>
            <w:tcW w:type="dxa" w:w="234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Application Hook</w:t>
            </w:r>
          </w:p>
        </w:tc>
        <w:tc>
          <w:tcPr>
            <w:tcW w:type="dxa" w:w="234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Timing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 Combinator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Best network globally for fintech/infra. Deep tech is their sweet spot.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Lead with: working Solana program, institutional compliance stack, AMINA Bank pilot conversation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Apply immediately if cycle is open — yc.com/apply</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Outlier Ventures Base Camp (DeFi/Web3)</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Web3 native, Solana ecosystem friendly, institutional DeFi is their emerging thesis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Lead with: PDA fund segregation innovation, Swiss regulatory alignment, institutional client archetype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Apply now — outlierventures.io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Techstars Web3 or Fintech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Strong fintech track. Alex Iskold network.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Technical execution speed, compliance stack built in 9 days, working devnet program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Find next open cohort — techstars.com</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Solana Foundation Grants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Direct ecosystem support. You built on Solana.</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Apply for development grant post-hackathon. Use StableHacks result as proof of quality.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Rolling — solana.org/grants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Fabric Ventures / Blockchain Founders Fund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EU Web3 focused investors, institutional DeFi in thesis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Swiss regulatory alignment (FINMA) is directly relevant to their portfolio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Warm intro from StableHacks judges if possible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2048 Ventures (Alex Iskold)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Platform/API/infrastructure focus. Pre-seed.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ComplianceVault is infrastructure — exactly their thesis. Direct pitch post-hackathon.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Rolling — 2048.vc/pitch-alex</w:t>
            </w:r>
          </w:p>
        </w:tc>
      </w:tr>
    </w:tbl>
    <w:p>
      <w:pPr>
        <w:spacing w:after="0" w:before="60"/>
      </w:pPr>
      <w:r>
        <w:t xml:space="preserve"/>
      </w:r>
    </w:p>
    <w:p>
      <w:pPr>
        <w:pStyle w:val="Heading2"/>
        <w:spacing w:after="100" w:before="300"/>
      </w:pPr>
      <w:r>
        <w:rPr>
          <w:rFonts w:ascii="Arial" w:cs="Arial" w:eastAsia="Arial" w:hAnsi="Arial"/>
          <w:b/>
          <w:bCs/>
          <w:color w:val="1B2A6B"/>
          <w:sz w:val="28"/>
          <w:szCs w:val="28"/>
        </w:rPr>
        <w:t xml:space="preserve">7.2  Investor Target List — Pre-Seed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Investor / Fund</w:t>
            </w:r>
          </w:p>
        </w:tc>
        <w:tc>
          <w:tcPr>
            <w:tcW w:type="dxa" w:w="234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Why They Fit</w:t>
            </w:r>
          </w:p>
        </w:tc>
        <w:tc>
          <w:tcPr>
            <w:tcW w:type="dxa" w:w="234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Entry Point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AMINA Bank (strategic)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Corporate/strategic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They are your pilot client AND your potential investor. A pilot contract is worth more than a VC cheque.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Post-hackathon direct email to AMINA representative who judged.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Solana Ventures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Ecosystem VC</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Solana-native, DeFi infrastructure in mandate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Warm intro from Solana Foundation contact at StableHacks.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Multicoin Capital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Crypto-native VC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Institutional DeFi, Solana ecosystem bets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Cold outreach acceptable if StableHacks win is prominent.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Hack VC</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Web3 seed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Infrastructure, DeFi, institutional clients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Direct outreach — they invest at seed in Solana infra.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Portage Ventures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Fintech seed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Fintech infrastructure, regulatory-aligned products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Research their portfolio. Find a founder intro.</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SixThirty (Fintech)</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Fintech seed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Compliance-focused fintech is their mandate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Direct application to their programme.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Robot Ventures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DeFi/crypto seed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Small cheques, fast decisions, DeFi infrastructure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Cold outreach acceptable. Show the Anchor program.</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Keyrock (strategic)</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Market maker/strategic</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They are a StableHacks partner and judged the competition — warm lead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Direct email to Keyrock partner within 48h of results.</w:t>
            </w:r>
          </w:p>
        </w:tc>
      </w:tr>
    </w:tbl>
    <w:p>
      <w:r>
        <w:br w:type="page"/>
      </w:r>
    </w:p>
    <w:p>
      <w:pPr>
        <w:pStyle w:val="Heading1"/>
        <w:pBdr>
          <w:bottom w:val="single" w:color="1B2A6B" w:sz="8" w:space="4"/>
        </w:pBdr>
        <w:spacing w:after="160" w:before="480"/>
      </w:pPr>
      <w:r>
        <w:rPr>
          <w:rFonts w:ascii="Arial" w:cs="Arial" w:eastAsia="Arial" w:hAnsi="Arial"/>
          <w:b/>
          <w:bCs/>
          <w:color w:val="1B2A6B"/>
          <w:sz w:val="40"/>
          <w:szCs w:val="40"/>
        </w:rPr>
        <w:t xml:space="preserve">8. The Investor Deck — Slide by Slide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Slide</w:t>
            </w:r>
          </w:p>
        </w:tc>
        <w:tc>
          <w:tcPr>
            <w:tcW w:type="dxa" w:w="234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234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Exact Content</w:t>
            </w:r>
          </w:p>
        </w:tc>
        <w:tc>
          <w:tcPr>
            <w:tcW w:type="dxa" w:w="234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What NOT to Do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Team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 founders. Credentials: Anchor/Rust, compliance stack, AI agent systems, StableHacks competitor.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 NOT pad with advisors you have not actually worked with</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Vision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'Institutional capital should work as hard as retail capital.'</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One sentence. No bullets.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Problem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AMINA Bank story. $200M USDC at 0.3%. $23M/yr foregone. Three regulatory reasons it is trapped.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 NOT use abstract market statistics without a named institution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4</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Solution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One sentence + architecture diagram: PDA segregation, KYC gate, AML screening, Fireblocks, yield router.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Do NOT list every technical feature — show the architecture diagram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Demo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90-second demo video. Voice on. Show: connect wallet, KYC badge, deposit, compliance steps, PDF report.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 NOT use a silent recording</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6</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Traction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StableHacks result. Working Solana devnet program. AMINA Bank pilot conversation. 4 builders, 9 days.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Do NOT say 'zero clients' — say 'pilot-ready, AMINA Bank conversation in progress'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Business Model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$100K/yr per client at $50M AUM. 93% gross margin. Setup fee + reports. Year 1: $635K. Year 3: $6.75M.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 NOT show CAC/LTV — irrelevant at pre-seed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8</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Competition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Maple / Centrifuge / Ondo / TradFi prime brokerage. Their fee (0.3–0.5%). Our yield (4–12%). Our KYC architecture vs theirs.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Do NOT use magic quadrant. Name competitors by strength first.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Market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Bottom-up: 50 European institutional clients × $50M AUM × 0.20% = $5M ARR. 1% of $200B institutional USDC = $400M fee pool.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 NOT say '$15.7 trillion stablecoin market'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Ask</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Raising $750K pre-seed. Close AMINA Bank pilot. Build white-label API. Acquire 5 paying institutional clients. Reach $500K ARR.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Do NOT say 'for engineers' or 'for runway' — say the business milestone you are buying</w:t>
            </w:r>
          </w:p>
        </w:tc>
      </w:tr>
    </w:tbl>
    <w:p>
      <w:r>
        <w:br w:type="page"/>
      </w:r>
    </w:p>
    <w:p>
      <w:pPr>
        <w:pStyle w:val="Heading1"/>
        <w:pBdr>
          <w:bottom w:val="single" w:color="1B2A6B" w:sz="8" w:space="4"/>
        </w:pBdr>
        <w:spacing w:after="160" w:before="480"/>
      </w:pPr>
      <w:r>
        <w:rPr>
          <w:rFonts w:ascii="Arial" w:cs="Arial" w:eastAsia="Arial" w:hAnsi="Arial"/>
          <w:b/>
          <w:bCs/>
          <w:color w:val="1B2A6B"/>
          <w:sz w:val="40"/>
          <w:szCs w:val="40"/>
        </w:rPr>
        <w:t xml:space="preserve">9. Product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B2A6B" w:val="clear"/>
            <w:tcMar>
              <w:top w:type="dxa" w:w="0"/>
              <w:left w:type="dxa" w:w="0"/>
              <w:bottom w:type="dxa" w:w="0"/>
              <w:right w:type="dxa" w:w="0"/>
            </w:tcMar>
          </w:tcPr>
          <w:p>
            <w:pPr>
              <w:spacing w:after="0" w:before="120"/>
              <w:jc w:val="center"/>
            </w:pPr>
            <w:r>
              <w:rPr>
                <w:rFonts w:ascii="Arial" w:cs="Arial" w:eastAsia="Arial" w:hAnsi="Arial"/>
                <w:b/>
                <w:bCs/>
                <w:caps/>
                <w:color w:val="FFFFFF"/>
                <w:sz w:val="28"/>
                <w:szCs w:val="28"/>
              </w:rPr>
              <w:t xml:space="preserve">1</w:t>
            </w:r>
          </w:p>
          <w:p>
            <w:pPr>
              <w:spacing w:after="0" w:before="0"/>
              <w:jc w:val="center"/>
            </w:pPr>
            <w:r>
              <w:rPr>
                <w:rFonts w:ascii="Arial" w:cs="Arial" w:eastAsia="Arial" w:hAnsi="Arial"/>
                <w:caps/>
                <w:color w:val="EEEEEE"/>
                <w:sz w:val="16"/>
                <w:szCs w:val="16"/>
              </w:rPr>
              <w:t xml:space="preserve">PHASE</w:t>
            </w:r>
          </w:p>
        </w:tc>
        <w:tc>
          <w:tcPr>
            <w:tcW w:type="dxa" w:w="8960"/>
            <w:tcBorders>
              <w:top w:val="none" w:color="FFFFFF" w:sz="0"/>
              <w:left w:val="none" w:color="FFFFFF" w:sz="0"/>
              <w:bottom w:val="none" w:color="FFFFFF" w:sz="0"/>
              <w:right w:val="none" w:color="FFFFFF" w:sz="0"/>
            </w:tcBorders>
            <w:shd w:fill="EEF1FA" w:val="clear"/>
            <w:tcMar>
              <w:top w:type="dxa" w:w="120"/>
              <w:left w:type="dxa" w:w="240"/>
              <w:bottom w:type="dxa" w:w="120"/>
              <w:right w:type="dxa" w:w="160"/>
            </w:tcMar>
          </w:tcPr>
          <w:p>
            <w:pPr>
              <w:spacing w:after="60" w:before="0"/>
            </w:pPr>
            <w:r>
              <w:rPr>
                <w:rFonts w:ascii="Arial" w:cs="Arial" w:eastAsia="Arial" w:hAnsi="Arial"/>
                <w:b/>
                <w:bCs/>
                <w:color w:val="1B2A6B"/>
                <w:sz w:val="24"/>
                <w:szCs w:val="24"/>
              </w:rPr>
              <w:t xml:space="preserve">Hackathon → Pilot (Now — Month 3)</w:t>
            </w:r>
          </w:p>
          <w:p>
            <w:pPr>
              <w:pStyle w:val="ListParagraph"/>
              <w:numPr>
                <w:ilvl w:val="0"/>
                <w:numId w:val="2"/>
              </w:numPr>
              <w:spacing w:after="30" w:before="30"/>
            </w:pPr>
            <w:r>
              <w:rPr>
                <w:rFonts w:ascii="Arial" w:cs="Arial" w:eastAsia="Arial" w:hAnsi="Arial"/>
                <w:sz w:val="20"/>
                <w:szCs w:val="20"/>
              </w:rPr>
              <w:t xml:space="preserve">Ship the working Anchor program on Solana devnet — the StableHacks build</w:t>
            </w:r>
          </w:p>
          <w:p>
            <w:pPr>
              <w:pStyle w:val="ListParagraph"/>
              <w:numPr>
                <w:ilvl w:val="0"/>
                <w:numId w:val="2"/>
              </w:numPr>
              <w:spacing w:after="30" w:before="30"/>
            </w:pPr>
            <w:r>
              <w:rPr>
                <w:rFonts w:ascii="Arial" w:cs="Arial" w:eastAsia="Arial" w:hAnsi="Arial"/>
                <w:sz w:val="20"/>
                <w:szCs w:val="20"/>
              </w:rPr>
              <w:t xml:space="preserve">Close the AMINA Bank pilot: convert the hackathon relationship into a signed pilot agreement</w:t>
            </w:r>
          </w:p>
          <w:p>
            <w:pPr>
              <w:pStyle w:val="ListParagraph"/>
              <w:numPr>
                <w:ilvl w:val="0"/>
                <w:numId w:val="2"/>
              </w:numPr>
              <w:spacing w:after="30" w:before="30"/>
            </w:pPr>
            <w:r>
              <w:rPr>
                <w:rFonts w:ascii="Arial" w:cs="Arial" w:eastAsia="Arial" w:hAnsi="Arial"/>
                <w:sz w:val="20"/>
                <w:szCs w:val="20"/>
              </w:rPr>
              <w:t xml:space="preserve">Move to Solana mainnet with the pilot: $1M–$5M AUM in the vault for the first institutional client</w:t>
            </w:r>
          </w:p>
          <w:p>
            <w:pPr>
              <w:pStyle w:val="ListParagraph"/>
              <w:numPr>
                <w:ilvl w:val="0"/>
                <w:numId w:val="2"/>
              </w:numPr>
              <w:spacing w:after="30" w:before="30"/>
            </w:pPr>
            <w:r>
              <w:rPr>
                <w:rFonts w:ascii="Arial" w:cs="Arial" w:eastAsia="Arial" w:hAnsi="Arial"/>
                <w:sz w:val="20"/>
                <w:szCs w:val="20"/>
              </w:rPr>
              <w:t xml:space="preserve">Complete Softstack smart contract audit (budget for this — it is a judging criterion and a real requirement)</w:t>
            </w:r>
          </w:p>
          <w:p>
            <w:pPr>
              <w:pStyle w:val="ListParagraph"/>
              <w:numPr>
                <w:ilvl w:val="0"/>
                <w:numId w:val="2"/>
              </w:numPr>
              <w:spacing w:after="30" w:before="30"/>
            </w:pPr>
            <w:r>
              <w:rPr>
                <w:rFonts w:ascii="Arial" w:cs="Arial" w:eastAsia="Arial" w:hAnsi="Arial"/>
                <w:sz w:val="20"/>
                <w:szCs w:val="20"/>
              </w:rPr>
              <w:t xml:space="preserve">Generate the first real FINMA-format compliance reports for the pilot client</w:t>
            </w:r>
          </w:p>
          <w:p>
            <w:pPr>
              <w:pStyle w:val="ListParagraph"/>
              <w:numPr>
                <w:ilvl w:val="0"/>
                <w:numId w:val="2"/>
              </w:numPr>
              <w:spacing w:after="30" w:before="30"/>
            </w:pPr>
            <w:r>
              <w:rPr>
                <w:rFonts w:ascii="Arial" w:cs="Arial" w:eastAsia="Arial" w:hAnsi="Arial"/>
                <w:sz w:val="20"/>
                <w:szCs w:val="20"/>
              </w:rPr>
              <w:t xml:space="preserve">Milestone: 1 paying client, $1M+ AUM, clean audit report, $25K setup fee received</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6064" w:val="clear"/>
            <w:tcMar>
              <w:top w:type="dxa" w:w="0"/>
              <w:left w:type="dxa" w:w="0"/>
              <w:bottom w:type="dxa" w:w="0"/>
              <w:right w:type="dxa" w:w="0"/>
            </w:tcMar>
          </w:tcPr>
          <w:p>
            <w:pPr>
              <w:spacing w:after="0" w:before="120"/>
              <w:jc w:val="center"/>
            </w:pPr>
            <w:r>
              <w:rPr>
                <w:rFonts w:ascii="Arial" w:cs="Arial" w:eastAsia="Arial" w:hAnsi="Arial"/>
                <w:b/>
                <w:bCs/>
                <w:caps/>
                <w:color w:val="FFFFFF"/>
                <w:sz w:val="28"/>
                <w:szCs w:val="28"/>
              </w:rPr>
              <w:t xml:space="preserve">2</w:t>
            </w:r>
          </w:p>
          <w:p>
            <w:pPr>
              <w:spacing w:after="0" w:before="0"/>
              <w:jc w:val="center"/>
            </w:pPr>
            <w:r>
              <w:rPr>
                <w:rFonts w:ascii="Arial" w:cs="Arial" w:eastAsia="Arial" w:hAnsi="Arial"/>
                <w:caps/>
                <w:color w:val="EEEEEE"/>
                <w:sz w:val="16"/>
                <w:szCs w:val="16"/>
              </w:rPr>
              <w:t xml:space="preserve">PHASE</w:t>
            </w:r>
          </w:p>
        </w:tc>
        <w:tc>
          <w:tcPr>
            <w:tcW w:type="dxa" w:w="8960"/>
            <w:tcBorders>
              <w:top w:val="none" w:color="FFFFFF" w:sz="0"/>
              <w:left w:val="none" w:color="FFFFFF" w:sz="0"/>
              <w:bottom w:val="none" w:color="FFFFFF" w:sz="0"/>
              <w:right w:val="none" w:color="FFFFFF" w:sz="0"/>
            </w:tcBorders>
            <w:shd w:fill="E0F7FA" w:val="clear"/>
            <w:tcMar>
              <w:top w:type="dxa" w:w="120"/>
              <w:left w:type="dxa" w:w="240"/>
              <w:bottom w:type="dxa" w:w="120"/>
              <w:right w:type="dxa" w:w="160"/>
            </w:tcMar>
          </w:tcPr>
          <w:p>
            <w:pPr>
              <w:spacing w:after="60" w:before="0"/>
            </w:pPr>
            <w:r>
              <w:rPr>
                <w:rFonts w:ascii="Arial" w:cs="Arial" w:eastAsia="Arial" w:hAnsi="Arial"/>
                <w:b/>
                <w:bCs/>
                <w:color w:val="006064"/>
                <w:sz w:val="24"/>
                <w:szCs w:val="24"/>
              </w:rPr>
              <w:t xml:space="preserve">Pilot → Product (Month 3 — Month 9)</w:t>
            </w:r>
          </w:p>
          <w:p>
            <w:pPr>
              <w:pStyle w:val="ListParagraph"/>
              <w:numPr>
                <w:ilvl w:val="0"/>
                <w:numId w:val="2"/>
              </w:numPr>
              <w:spacing w:after="30" w:before="30"/>
            </w:pPr>
            <w:r>
              <w:rPr>
                <w:rFonts w:ascii="Arial" w:cs="Arial" w:eastAsia="Arial" w:hAnsi="Arial"/>
                <w:sz w:val="20"/>
                <w:szCs w:val="20"/>
              </w:rPr>
              <w:t xml:space="preserve">Sign 3–5 additional institutional clients (warm intros from StableHacks judges and Outlier Ventures)</w:t>
            </w:r>
          </w:p>
          <w:p>
            <w:pPr>
              <w:pStyle w:val="ListParagraph"/>
              <w:numPr>
                <w:ilvl w:val="0"/>
                <w:numId w:val="2"/>
              </w:numPr>
              <w:spacing w:after="30" w:before="30"/>
            </w:pPr>
            <w:r>
              <w:rPr>
                <w:rFonts w:ascii="Arial" w:cs="Arial" w:eastAsia="Arial" w:hAnsi="Arial"/>
                <w:sz w:val="20"/>
                <w:szCs w:val="20"/>
              </w:rPr>
              <w:t xml:space="preserve">Add Kamino Finance and Marginfi as whitelisted yield strategies (real 6–9% APY on-chain)</w:t>
            </w:r>
          </w:p>
          <w:p>
            <w:pPr>
              <w:pStyle w:val="ListParagraph"/>
              <w:numPr>
                <w:ilvl w:val="0"/>
                <w:numId w:val="2"/>
              </w:numPr>
              <w:spacing w:after="30" w:before="30"/>
            </w:pPr>
            <w:r>
              <w:rPr>
                <w:rFonts w:ascii="Arial" w:cs="Arial" w:eastAsia="Arial" w:hAnsi="Arial"/>
                <w:sz w:val="20"/>
                <w:szCs w:val="20"/>
              </w:rPr>
              <w:t xml:space="preserve">Build the institutional dashboard as a white-label product: private-label for AMINA Bank so their clients see AMINA branding</w:t>
            </w:r>
          </w:p>
          <w:p>
            <w:pPr>
              <w:pStyle w:val="ListParagraph"/>
              <w:numPr>
                <w:ilvl w:val="0"/>
                <w:numId w:val="2"/>
              </w:numPr>
              <w:spacing w:after="30" w:before="30"/>
            </w:pPr>
            <w:r>
              <w:rPr>
                <w:rFonts w:ascii="Arial" w:cs="Arial" w:eastAsia="Arial" w:hAnsi="Arial"/>
                <w:sz w:val="20"/>
                <w:szCs w:val="20"/>
              </w:rPr>
              <w:t xml:space="preserve">Build the compliance API so institutions can integrate via REST API — not just the web dashboard</w:t>
            </w:r>
          </w:p>
          <w:p>
            <w:pPr>
              <w:pStyle w:val="ListParagraph"/>
              <w:numPr>
                <w:ilvl w:val="0"/>
                <w:numId w:val="2"/>
              </w:numPr>
              <w:spacing w:after="30" w:before="30"/>
            </w:pPr>
            <w:r>
              <w:rPr>
                <w:rFonts w:ascii="Arial" w:cs="Arial" w:eastAsia="Arial" w:hAnsi="Arial"/>
                <w:sz w:val="20"/>
                <w:szCs w:val="20"/>
              </w:rPr>
              <w:t xml:space="preserve">Integrate Pyth Network live pricing for real-time portfolio valuation</w:t>
            </w:r>
          </w:p>
          <w:p>
            <w:pPr>
              <w:pStyle w:val="ListParagraph"/>
              <w:numPr>
                <w:ilvl w:val="0"/>
                <w:numId w:val="2"/>
              </w:numPr>
              <w:spacing w:after="30" w:before="30"/>
            </w:pPr>
            <w:r>
              <w:rPr>
                <w:rFonts w:ascii="Arial" w:cs="Arial" w:eastAsia="Arial" w:hAnsi="Arial"/>
                <w:sz w:val="20"/>
                <w:szCs w:val="20"/>
              </w:rPr>
              <w:t xml:space="preserve">Milestone: 5 clients, $250M AUM, $500K ARR, Series A fundraise starts</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65100" w:val="clear"/>
            <w:tcMar>
              <w:top w:type="dxa" w:w="0"/>
              <w:left w:type="dxa" w:w="0"/>
              <w:bottom w:type="dxa" w:w="0"/>
              <w:right w:type="dxa" w:w="0"/>
            </w:tcMar>
          </w:tcPr>
          <w:p>
            <w:pPr>
              <w:spacing w:after="0" w:before="120"/>
              <w:jc w:val="center"/>
            </w:pPr>
            <w:r>
              <w:rPr>
                <w:rFonts w:ascii="Arial" w:cs="Arial" w:eastAsia="Arial" w:hAnsi="Arial"/>
                <w:b/>
                <w:bCs/>
                <w:caps/>
                <w:color w:val="FFFFFF"/>
                <w:sz w:val="28"/>
                <w:szCs w:val="28"/>
              </w:rPr>
              <w:t xml:space="preserve">3</w:t>
            </w:r>
          </w:p>
          <w:p>
            <w:pPr>
              <w:spacing w:after="0" w:before="0"/>
              <w:jc w:val="center"/>
            </w:pPr>
            <w:r>
              <w:rPr>
                <w:rFonts w:ascii="Arial" w:cs="Arial" w:eastAsia="Arial" w:hAnsi="Arial"/>
                <w:caps/>
                <w:color w:val="EEEEEE"/>
                <w:sz w:val="16"/>
                <w:szCs w:val="16"/>
              </w:rPr>
              <w:t xml:space="preserve">PHASE</w:t>
            </w:r>
          </w:p>
        </w:tc>
        <w:tc>
          <w:tcPr>
            <w:tcW w:type="dxa" w:w="8960"/>
            <w:tcBorders>
              <w:top w:val="none" w:color="FFFFFF" w:sz="0"/>
              <w:left w:val="none" w:color="FFFFFF" w:sz="0"/>
              <w:bottom w:val="none" w:color="FFFFFF" w:sz="0"/>
              <w:right w:val="none" w:color="FFFFFF" w:sz="0"/>
            </w:tcBorders>
            <w:shd w:fill="FFF3E0" w:val="clear"/>
            <w:tcMar>
              <w:top w:type="dxa" w:w="120"/>
              <w:left w:type="dxa" w:w="240"/>
              <w:bottom w:type="dxa" w:w="120"/>
              <w:right w:type="dxa" w:w="160"/>
            </w:tcMar>
          </w:tcPr>
          <w:p>
            <w:pPr>
              <w:spacing w:after="60" w:before="0"/>
            </w:pPr>
            <w:r>
              <w:rPr>
                <w:rFonts w:ascii="Arial" w:cs="Arial" w:eastAsia="Arial" w:hAnsi="Arial"/>
                <w:b/>
                <w:bCs/>
                <w:color w:val="E65100"/>
                <w:sz w:val="24"/>
                <w:szCs w:val="24"/>
              </w:rPr>
              <w:t xml:space="preserve">Scale → Defensibility (Month 9 — Month 24)</w:t>
            </w:r>
          </w:p>
          <w:p>
            <w:pPr>
              <w:pStyle w:val="ListParagraph"/>
              <w:numPr>
                <w:ilvl w:val="0"/>
                <w:numId w:val="2"/>
              </w:numPr>
              <w:spacing w:after="30" w:before="30"/>
            </w:pPr>
            <w:r>
              <w:rPr>
                <w:rFonts w:ascii="Arial" w:cs="Arial" w:eastAsia="Arial" w:hAnsi="Arial"/>
                <w:sz w:val="20"/>
                <w:szCs w:val="20"/>
              </w:rPr>
              <w:t xml:space="preserve">Expand to Singapore and Hong Kong regulated institutions (post Hong Kong Stablecoin Bill)</w:t>
            </w:r>
          </w:p>
          <w:p>
            <w:pPr>
              <w:pStyle w:val="ListParagraph"/>
              <w:numPr>
                <w:ilvl w:val="0"/>
                <w:numId w:val="2"/>
              </w:numPr>
              <w:spacing w:after="30" w:before="30"/>
            </w:pPr>
            <w:r>
              <w:rPr>
                <w:rFonts w:ascii="Arial" w:cs="Arial" w:eastAsia="Arial" w:hAnsi="Arial"/>
                <w:sz w:val="20"/>
                <w:szCs w:val="20"/>
              </w:rPr>
              <w:t xml:space="preserve">Add US clients post-GENIUS Act — separate legal entity or partnership with US-licensed custodian</w:t>
            </w:r>
          </w:p>
          <w:p>
            <w:pPr>
              <w:pStyle w:val="ListParagraph"/>
              <w:numPr>
                <w:ilvl w:val="0"/>
                <w:numId w:val="2"/>
              </w:numPr>
              <w:spacing w:after="30" w:before="30"/>
            </w:pPr>
            <w:r>
              <w:rPr>
                <w:rFonts w:ascii="Arial" w:cs="Arial" w:eastAsia="Arial" w:hAnsi="Arial"/>
                <w:sz w:val="20"/>
                <w:szCs w:val="20"/>
              </w:rPr>
              <w:t xml:space="preserve">Launch yield strategy marketplace: institutions choose from a menu of whitelisted, audited strategies</w:t>
            </w:r>
          </w:p>
          <w:p>
            <w:pPr>
              <w:pStyle w:val="ListParagraph"/>
              <w:numPr>
                <w:ilvl w:val="0"/>
                <w:numId w:val="2"/>
              </w:numPr>
              <w:spacing w:after="30" w:before="30"/>
            </w:pPr>
            <w:r>
              <w:rPr>
                <w:rFonts w:ascii="Arial" w:cs="Arial" w:eastAsia="Arial" w:hAnsi="Arial"/>
                <w:sz w:val="20"/>
                <w:szCs w:val="20"/>
              </w:rPr>
              <w:t xml:space="preserve">Build the RWA module: tokenised T-bills and money market funds as yield sources (Franklin Templeton FOBXX)</w:t>
            </w:r>
          </w:p>
          <w:p>
            <w:pPr>
              <w:pStyle w:val="ListParagraph"/>
              <w:numPr>
                <w:ilvl w:val="0"/>
                <w:numId w:val="2"/>
              </w:numPr>
              <w:spacing w:after="30" w:before="30"/>
            </w:pPr>
            <w:r>
              <w:rPr>
                <w:rFonts w:ascii="Arial" w:cs="Arial" w:eastAsia="Arial" w:hAnsi="Arial"/>
                <w:sz w:val="20"/>
                <w:szCs w:val="20"/>
              </w:rPr>
              <w:t xml:space="preserve">API licensing revenue: let other fintechs use the compliance and PDA vault infrastructure</w:t>
            </w:r>
          </w:p>
          <w:p>
            <w:pPr>
              <w:pStyle w:val="ListParagraph"/>
              <w:numPr>
                <w:ilvl w:val="0"/>
                <w:numId w:val="2"/>
              </w:numPr>
              <w:spacing w:after="30" w:before="30"/>
            </w:pPr>
            <w:r>
              <w:rPr>
                <w:rFonts w:ascii="Arial" w:cs="Arial" w:eastAsia="Arial" w:hAnsi="Arial"/>
                <w:sz w:val="20"/>
                <w:szCs w:val="20"/>
              </w:rPr>
              <w:t xml:space="preserve">Milestone: 50 clients, $2B AUM, $4M ARR, profitable, Series A or Series B</w:t>
            </w:r>
          </w:p>
        </w:tc>
      </w:tr>
    </w:tbl>
    <w:p>
      <w:r>
        <w:br w:type="page"/>
      </w:r>
    </w:p>
    <w:p>
      <w:pPr>
        <w:pStyle w:val="Heading1"/>
        <w:pBdr>
          <w:bottom w:val="single" w:color="1B2A6B" w:sz="8" w:space="4"/>
        </w:pBdr>
        <w:spacing w:after="160" w:before="480"/>
      </w:pPr>
      <w:r>
        <w:rPr>
          <w:rFonts w:ascii="Arial" w:cs="Arial" w:eastAsia="Arial" w:hAnsi="Arial"/>
          <w:b/>
          <w:bCs/>
          <w:color w:val="1B2A6B"/>
          <w:sz w:val="40"/>
          <w:szCs w:val="40"/>
        </w:rPr>
        <w:t xml:space="preserve">10. Go-To-Market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62828" w:val="clear"/>
            <w:tcMar>
              <w:top w:type="dxa" w:w="0"/>
              <w:left w:type="dxa" w:w="0"/>
              <w:bottom w:type="dxa" w:w="0"/>
              <w:right w:type="dxa" w:w="0"/>
            </w:tcMar>
          </w:tcPr>
          <w:p>
            <w:pPr>
              <w:spacing w:after="0" w:before="0"/>
            </w:pPr>
            <w:r>
              <w:t xml:space="preserve"/>
            </w:r>
          </w:p>
        </w:tc>
        <w:tc>
          <w:tcPr>
            <w:tcW w:type="dxa" w:w="9160"/>
            <w:tcBorders>
              <w:top w:val="none" w:color="FFFFFF" w:sz="0"/>
              <w:left w:val="none" w:color="FFFFFF" w:sz="0"/>
              <w:bottom w:val="none" w:color="FFFFFF" w:sz="0"/>
              <w:right w:val="none" w:color="FFFFFF" w:sz="0"/>
            </w:tcBorders>
            <w:shd w:fill="FFEBEE" w:val="clear"/>
            <w:tcMar>
              <w:top w:type="dxa" w:w="120"/>
              <w:left w:type="dxa" w:w="220"/>
              <w:bottom w:type="dxa" w:w="120"/>
              <w:right w:type="dxa" w:w="160"/>
            </w:tcMar>
          </w:tcPr>
          <w:p>
            <w:pPr>
              <w:spacing w:after="40" w:before="0"/>
            </w:pPr>
            <w:r>
              <w:rPr>
                <w:rFonts w:ascii="Arial" w:cs="Arial" w:eastAsia="Arial" w:hAnsi="Arial"/>
                <w:b/>
                <w:bCs/>
                <w:caps/>
                <w:color w:val="C62828"/>
                <w:sz w:val="18"/>
                <w:szCs w:val="18"/>
              </w:rPr>
              <w:t xml:space="preserve">TARGET CUSTOMER — ONE PERSONA</w:t>
            </w:r>
          </w:p>
          <w:p>
            <w:pPr>
              <w:spacing w:after="0" w:before="0"/>
            </w:pPr>
            <w:r>
              <w:rPr>
                <w:rFonts w:ascii="Arial" w:cs="Arial" w:eastAsia="Arial" w:hAnsi="Arial"/>
                <w:color w:val="0D0D0D"/>
                <w:sz w:val="21"/>
                <w:szCs w:val="21"/>
              </w:rPr>
              <w:t xml:space="preserve">Do NOT say 'institutional investors.' Say: Yannick, Head of Digital Assets Treasury at AMINA Bank. He holds $200M in USDC. His board wants yield. His compliance team says DeFi is too risky. He needs a product that his auditor, his compliance officer, and his FINMA supervisor will all sign off on. ComplianceVault is the only product that answers all three objections simultaneously.</w:t>
            </w:r>
          </w:p>
        </w:tc>
      </w:tr>
    </w:tbl>
    <w:p>
      <w:pPr>
        <w:spacing w:after="0" w:before="60"/>
      </w:pPr>
      <w:r>
        <w:t xml:space="preserve"/>
      </w:r>
    </w:p>
    <w:p>
      <w:pPr>
        <w:pStyle w:val="Heading2"/>
        <w:spacing w:after="100" w:before="300"/>
      </w:pPr>
      <w:r>
        <w:rPr>
          <w:rFonts w:ascii="Arial" w:cs="Arial" w:eastAsia="Arial" w:hAnsi="Arial"/>
          <w:b/>
          <w:bCs/>
          <w:color w:val="1B2A6B"/>
          <w:sz w:val="28"/>
          <w:szCs w:val="28"/>
        </w:rPr>
        <w:t xml:space="preserve">10.1  GTM Channels —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B2A6B" w:val="clear"/>
            <w:tcMar>
              <w:top w:type="dxa" w:w="0"/>
              <w:left w:type="dxa" w:w="0"/>
              <w:bottom w:type="dxa" w:w="0"/>
              <w:right w:type="dxa" w:w="0"/>
            </w:tcMar>
          </w:tcPr>
          <w:p>
            <w:pPr>
              <w:spacing w:after="0" w:before="120"/>
              <w:jc w:val="center"/>
            </w:pPr>
            <w:r>
              <w:rPr>
                <w:rFonts w:ascii="Arial" w:cs="Arial" w:eastAsia="Arial" w:hAnsi="Arial"/>
                <w:b/>
                <w:bCs/>
                <w:caps/>
                <w:color w:val="FFFFFF"/>
                <w:sz w:val="28"/>
                <w:szCs w:val="28"/>
              </w:rPr>
              <w:t xml:space="preserve">1</w:t>
            </w:r>
          </w:p>
          <w:p>
            <w:pPr>
              <w:spacing w:after="0" w:before="0"/>
              <w:jc w:val="center"/>
            </w:pPr>
            <w:r>
              <w:rPr>
                <w:rFonts w:ascii="Arial" w:cs="Arial" w:eastAsia="Arial" w:hAnsi="Arial"/>
                <w:caps/>
                <w:color w:val="EEEEEE"/>
                <w:sz w:val="16"/>
                <w:szCs w:val="16"/>
              </w:rPr>
              <w:t xml:space="preserve">PHASE</w:t>
            </w:r>
          </w:p>
        </w:tc>
        <w:tc>
          <w:tcPr>
            <w:tcW w:type="dxa" w:w="8960"/>
            <w:tcBorders>
              <w:top w:val="none" w:color="FFFFFF" w:sz="0"/>
              <w:left w:val="none" w:color="FFFFFF" w:sz="0"/>
              <w:bottom w:val="none" w:color="FFFFFF" w:sz="0"/>
              <w:right w:val="none" w:color="FFFFFF" w:sz="0"/>
            </w:tcBorders>
            <w:shd w:fill="EEF1FA" w:val="clear"/>
            <w:tcMar>
              <w:top w:type="dxa" w:w="120"/>
              <w:left w:type="dxa" w:w="240"/>
              <w:bottom w:type="dxa" w:w="120"/>
              <w:right w:type="dxa" w:w="160"/>
            </w:tcMar>
          </w:tcPr>
          <w:p>
            <w:pPr>
              <w:spacing w:after="60" w:before="0"/>
            </w:pPr>
            <w:r>
              <w:rPr>
                <w:rFonts w:ascii="Arial" w:cs="Arial" w:eastAsia="Arial" w:hAnsi="Arial"/>
                <w:b/>
                <w:bCs/>
                <w:color w:val="1B2A6B"/>
                <w:sz w:val="24"/>
                <w:szCs w:val="24"/>
              </w:rPr>
              <w:t xml:space="preserve">Conference-Led Outreach (Months 1–6)</w:t>
            </w:r>
          </w:p>
          <w:p>
            <w:pPr>
              <w:pStyle w:val="ListParagraph"/>
              <w:numPr>
                <w:ilvl w:val="0"/>
                <w:numId w:val="2"/>
              </w:numPr>
              <w:spacing w:after="30" w:before="30"/>
            </w:pPr>
            <w:r>
              <w:rPr>
                <w:rFonts w:ascii="Arial" w:cs="Arial" w:eastAsia="Arial" w:hAnsi="Arial"/>
                <w:sz w:val="20"/>
                <w:szCs w:val="20"/>
              </w:rPr>
              <w:t xml:space="preserve">Davos, Token2049 Singapore, EthCC Brussels, Consensus Austin: attend and present at side events focused on institutional DeFi</w:t>
            </w:r>
          </w:p>
          <w:p>
            <w:pPr>
              <w:pStyle w:val="ListParagraph"/>
              <w:numPr>
                <w:ilvl w:val="0"/>
                <w:numId w:val="2"/>
              </w:numPr>
              <w:spacing w:after="30" w:before="30"/>
            </w:pPr>
            <w:r>
              <w:rPr>
                <w:rFonts w:ascii="Arial" w:cs="Arial" w:eastAsia="Arial" w:hAnsi="Arial"/>
                <w:sz w:val="20"/>
                <w:szCs w:val="20"/>
              </w:rPr>
              <w:t xml:space="preserve">The StableHacks Demo Day in Zurich is your launch event — Top 10 finalists present to UBS, AMINA, Fireblocks. Treat it as your Series A pitch.</w:t>
            </w:r>
          </w:p>
          <w:p>
            <w:pPr>
              <w:pStyle w:val="ListParagraph"/>
              <w:numPr>
                <w:ilvl w:val="0"/>
                <w:numId w:val="2"/>
              </w:numPr>
              <w:spacing w:after="30" w:before="30"/>
            </w:pPr>
            <w:r>
              <w:rPr>
                <w:rFonts w:ascii="Arial" w:cs="Arial" w:eastAsia="Arial" w:hAnsi="Arial"/>
                <w:sz w:val="20"/>
                <w:szCs w:val="20"/>
              </w:rPr>
              <w:t xml:space="preserve">Zug Crypto Valley community: highest concentration of crypto-friendly Swiss institutions in the world. Monthly meetups. Attend every one.</w:t>
            </w:r>
          </w:p>
          <w:p>
            <w:pPr>
              <w:pStyle w:val="ListParagraph"/>
              <w:numPr>
                <w:ilvl w:val="0"/>
                <w:numId w:val="2"/>
              </w:numPr>
              <w:spacing w:after="30" w:before="30"/>
            </w:pPr>
            <w:r>
              <w:rPr>
                <w:rFonts w:ascii="Arial" w:cs="Arial" w:eastAsia="Arial" w:hAnsi="Arial"/>
                <w:sz w:val="20"/>
                <w:szCs w:val="20"/>
              </w:rPr>
              <w:t xml:space="preserve">Target: 2 client conversations per conference, 5 conferences in Year 1</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6064" w:val="clear"/>
            <w:tcMar>
              <w:top w:type="dxa" w:w="0"/>
              <w:left w:type="dxa" w:w="0"/>
              <w:bottom w:type="dxa" w:w="0"/>
              <w:right w:type="dxa" w:w="0"/>
            </w:tcMar>
          </w:tcPr>
          <w:p>
            <w:pPr>
              <w:spacing w:after="0" w:before="120"/>
              <w:jc w:val="center"/>
            </w:pPr>
            <w:r>
              <w:rPr>
                <w:rFonts w:ascii="Arial" w:cs="Arial" w:eastAsia="Arial" w:hAnsi="Arial"/>
                <w:b/>
                <w:bCs/>
                <w:caps/>
                <w:color w:val="FFFFFF"/>
                <w:sz w:val="28"/>
                <w:szCs w:val="28"/>
              </w:rPr>
              <w:t xml:space="preserve">2</w:t>
            </w:r>
          </w:p>
          <w:p>
            <w:pPr>
              <w:spacing w:after="0" w:before="0"/>
              <w:jc w:val="center"/>
            </w:pPr>
            <w:r>
              <w:rPr>
                <w:rFonts w:ascii="Arial" w:cs="Arial" w:eastAsia="Arial" w:hAnsi="Arial"/>
                <w:caps/>
                <w:color w:val="EEEEEE"/>
                <w:sz w:val="16"/>
                <w:szCs w:val="16"/>
              </w:rPr>
              <w:t xml:space="preserve">PHASE</w:t>
            </w:r>
          </w:p>
        </w:tc>
        <w:tc>
          <w:tcPr>
            <w:tcW w:type="dxa" w:w="8960"/>
            <w:tcBorders>
              <w:top w:val="none" w:color="FFFFFF" w:sz="0"/>
              <w:left w:val="none" w:color="FFFFFF" w:sz="0"/>
              <w:bottom w:val="none" w:color="FFFFFF" w:sz="0"/>
              <w:right w:val="none" w:color="FFFFFF" w:sz="0"/>
            </w:tcBorders>
            <w:shd w:fill="E0F7FA" w:val="clear"/>
            <w:tcMar>
              <w:top w:type="dxa" w:w="120"/>
              <w:left w:type="dxa" w:w="240"/>
              <w:bottom w:type="dxa" w:w="120"/>
              <w:right w:type="dxa" w:w="160"/>
            </w:tcMar>
          </w:tcPr>
          <w:p>
            <w:pPr>
              <w:spacing w:after="60" w:before="0"/>
            </w:pPr>
            <w:r>
              <w:rPr>
                <w:rFonts w:ascii="Arial" w:cs="Arial" w:eastAsia="Arial" w:hAnsi="Arial"/>
                <w:b/>
                <w:bCs/>
                <w:color w:val="006064"/>
                <w:sz w:val="24"/>
                <w:szCs w:val="24"/>
              </w:rPr>
              <w:t xml:space="preserve">Partner-Led Distribution (Months 3–12)</w:t>
            </w:r>
          </w:p>
          <w:p>
            <w:pPr>
              <w:pStyle w:val="ListParagraph"/>
              <w:numPr>
                <w:ilvl w:val="0"/>
                <w:numId w:val="2"/>
              </w:numPr>
              <w:spacing w:after="30" w:before="30"/>
            </w:pPr>
            <w:r>
              <w:rPr>
                <w:rFonts w:ascii="Arial" w:cs="Arial" w:eastAsia="Arial" w:hAnsi="Arial"/>
                <w:sz w:val="20"/>
                <w:szCs w:val="20"/>
              </w:rPr>
              <w:t xml:space="preserve">Fireblocks partnership: they have 1,800+ institutional clients. A co-sell or referral arrangement with Fireblocks is worth more than any marketing budget. They integrated our system for StableHacks — use that relationship.</w:t>
            </w:r>
          </w:p>
          <w:p>
            <w:pPr>
              <w:pStyle w:val="ListParagraph"/>
              <w:numPr>
                <w:ilvl w:val="0"/>
                <w:numId w:val="2"/>
              </w:numPr>
              <w:spacing w:after="30" w:before="30"/>
            </w:pPr>
            <w:r>
              <w:rPr>
                <w:rFonts w:ascii="Arial" w:cs="Arial" w:eastAsia="Arial" w:hAnsi="Arial"/>
                <w:sz w:val="20"/>
                <w:szCs w:val="20"/>
              </w:rPr>
              <w:t xml:space="preserve">Keyrock OTC desk: they custody for hedge funds and family offices who want yield on idle USDC. A referral arrangement is natural.</w:t>
            </w:r>
          </w:p>
          <w:p>
            <w:pPr>
              <w:pStyle w:val="ListParagraph"/>
              <w:numPr>
                <w:ilvl w:val="0"/>
                <w:numId w:val="2"/>
              </w:numPr>
              <w:spacing w:after="30" w:before="30"/>
            </w:pPr>
            <w:r>
              <w:rPr>
                <w:rFonts w:ascii="Arial" w:cs="Arial" w:eastAsia="Arial" w:hAnsi="Arial"/>
                <w:sz w:val="20"/>
                <w:szCs w:val="20"/>
              </w:rPr>
              <w:t xml:space="preserve">Solana Foundation institutional programme: they actively introduce builders to their institutional partners</w:t>
            </w:r>
          </w:p>
          <w:p>
            <w:pPr>
              <w:pStyle w:val="ListParagraph"/>
              <w:numPr>
                <w:ilvl w:val="0"/>
                <w:numId w:val="2"/>
              </w:numPr>
              <w:spacing w:after="30" w:before="30"/>
            </w:pPr>
            <w:r>
              <w:rPr>
                <w:rFonts w:ascii="Arial" w:cs="Arial" w:eastAsia="Arial" w:hAnsi="Arial"/>
                <w:sz w:val="20"/>
                <w:szCs w:val="20"/>
              </w:rPr>
              <w:t xml:space="preserve">Big4 accounting firms: Ernst &amp; Young and KPMG have crypto advisory practices that advise banks on DeFi. If they recommend ComplianceVault, it bypasses the entire sales cycle.</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65100" w:val="clear"/>
            <w:tcMar>
              <w:top w:type="dxa" w:w="0"/>
              <w:left w:type="dxa" w:w="0"/>
              <w:bottom w:type="dxa" w:w="0"/>
              <w:right w:type="dxa" w:w="0"/>
            </w:tcMar>
          </w:tcPr>
          <w:p>
            <w:pPr>
              <w:spacing w:after="0" w:before="120"/>
              <w:jc w:val="center"/>
            </w:pPr>
            <w:r>
              <w:rPr>
                <w:rFonts w:ascii="Arial" w:cs="Arial" w:eastAsia="Arial" w:hAnsi="Arial"/>
                <w:b/>
                <w:bCs/>
                <w:caps/>
                <w:color w:val="FFFFFF"/>
                <w:sz w:val="28"/>
                <w:szCs w:val="28"/>
              </w:rPr>
              <w:t xml:space="preserve">3</w:t>
            </w:r>
          </w:p>
          <w:p>
            <w:pPr>
              <w:spacing w:after="0" w:before="0"/>
              <w:jc w:val="center"/>
            </w:pPr>
            <w:r>
              <w:rPr>
                <w:rFonts w:ascii="Arial" w:cs="Arial" w:eastAsia="Arial" w:hAnsi="Arial"/>
                <w:caps/>
                <w:color w:val="EEEEEE"/>
                <w:sz w:val="16"/>
                <w:szCs w:val="16"/>
              </w:rPr>
              <w:t xml:space="preserve">PHASE</w:t>
            </w:r>
          </w:p>
        </w:tc>
        <w:tc>
          <w:tcPr>
            <w:tcW w:type="dxa" w:w="8960"/>
            <w:tcBorders>
              <w:top w:val="none" w:color="FFFFFF" w:sz="0"/>
              <w:left w:val="none" w:color="FFFFFF" w:sz="0"/>
              <w:bottom w:val="none" w:color="FFFFFF" w:sz="0"/>
              <w:right w:val="none" w:color="FFFFFF" w:sz="0"/>
            </w:tcBorders>
            <w:shd w:fill="FFF3E0" w:val="clear"/>
            <w:tcMar>
              <w:top w:type="dxa" w:w="120"/>
              <w:left w:type="dxa" w:w="240"/>
              <w:bottom w:type="dxa" w:w="120"/>
              <w:right w:type="dxa" w:w="160"/>
            </w:tcMar>
          </w:tcPr>
          <w:p>
            <w:pPr>
              <w:spacing w:after="60" w:before="0"/>
            </w:pPr>
            <w:r>
              <w:rPr>
                <w:rFonts w:ascii="Arial" w:cs="Arial" w:eastAsia="Arial" w:hAnsi="Arial"/>
                <w:b/>
                <w:bCs/>
                <w:color w:val="E65100"/>
                <w:sz w:val="24"/>
                <w:szCs w:val="24"/>
              </w:rPr>
              <w:t xml:space="preserve">Content Authority (Months 1–18)</w:t>
            </w:r>
          </w:p>
          <w:p>
            <w:pPr>
              <w:pStyle w:val="ListParagraph"/>
              <w:numPr>
                <w:ilvl w:val="0"/>
                <w:numId w:val="2"/>
              </w:numPr>
              <w:spacing w:after="30" w:before="30"/>
            </w:pPr>
            <w:r>
              <w:rPr>
                <w:rFonts w:ascii="Arial" w:cs="Arial" w:eastAsia="Arial" w:hAnsi="Arial"/>
                <w:sz w:val="20"/>
                <w:szCs w:val="20"/>
              </w:rPr>
              <w:t xml:space="preserve">Publish: 'The Institutional DeFi Compliance Guide for Swiss Banks' — a detailed technical and regulatory document. This positions ComplianceVault as the expert.</w:t>
            </w:r>
          </w:p>
          <w:p>
            <w:pPr>
              <w:pStyle w:val="ListParagraph"/>
              <w:numPr>
                <w:ilvl w:val="0"/>
                <w:numId w:val="2"/>
              </w:numPr>
              <w:spacing w:after="30" w:before="30"/>
            </w:pPr>
            <w:r>
              <w:rPr>
                <w:rFonts w:ascii="Arial" w:cs="Arial" w:eastAsia="Arial" w:hAnsi="Arial"/>
                <w:sz w:val="20"/>
                <w:szCs w:val="20"/>
              </w:rPr>
              <w:t xml:space="preserve">Weekly LinkedIn content: explain the FINMA, FATF R.16, and MiCA requirements for stablecoin deployment. This attracts exactly the compliance officers who are your buyers.</w:t>
            </w:r>
          </w:p>
          <w:p>
            <w:pPr>
              <w:pStyle w:val="ListParagraph"/>
              <w:numPr>
                <w:ilvl w:val="0"/>
                <w:numId w:val="2"/>
              </w:numPr>
              <w:spacing w:after="30" w:before="30"/>
            </w:pPr>
            <w:r>
              <w:rPr>
                <w:rFonts w:ascii="Arial" w:cs="Arial" w:eastAsia="Arial" w:hAnsi="Arial"/>
                <w:sz w:val="20"/>
                <w:szCs w:val="20"/>
              </w:rPr>
              <w:t xml:space="preserve">Substack or newsletter: 'Institutional DeFi Weekly' — curate regulatory updates, yield data, and compliance news for treasury teams</w:t>
            </w:r>
          </w:p>
          <w:p>
            <w:pPr>
              <w:pStyle w:val="ListParagraph"/>
              <w:numPr>
                <w:ilvl w:val="0"/>
                <w:numId w:val="2"/>
              </w:numPr>
              <w:spacing w:after="30" w:before="30"/>
            </w:pPr>
            <w:r>
              <w:rPr>
                <w:rFonts w:ascii="Arial" w:cs="Arial" w:eastAsia="Arial" w:hAnsi="Arial"/>
                <w:sz w:val="20"/>
                <w:szCs w:val="20"/>
              </w:rPr>
              <w:t xml:space="preserve">Speaking slots at Swiss Finance Innovation events and Crypto Finance Conference</w:t>
            </w:r>
          </w:p>
        </w:tc>
      </w:tr>
    </w:tbl>
    <w:p>
      <w:r>
        <w:br w:type="page"/>
      </w:r>
    </w:p>
    <w:p>
      <w:pPr>
        <w:pStyle w:val="Heading1"/>
        <w:pBdr>
          <w:bottom w:val="single" w:color="1B2A6B" w:sz="8" w:space="4"/>
        </w:pBdr>
        <w:spacing w:after="160" w:before="480"/>
      </w:pPr>
      <w:r>
        <w:rPr>
          <w:rFonts w:ascii="Arial" w:cs="Arial" w:eastAsia="Arial" w:hAnsi="Arial"/>
          <w:b/>
          <w:bCs/>
          <w:color w:val="1B2A6B"/>
          <w:sz w:val="40"/>
          <w:szCs w:val="40"/>
        </w:rPr>
        <w:t xml:space="preserve">11. Traction 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234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34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Target Metric</w:t>
            </w:r>
          </w:p>
        </w:tc>
        <w:tc>
          <w:tcPr>
            <w:tcW w:type="dxa" w:w="234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How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Month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Close AMINA Bank pilot conversation into a signed LOI or pilot agreement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 signed LOI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Follow up within 48h of StableHacks results. Offer free 90-day pilot.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Month 2</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Complete Softstack smart contract audit. Publish results publicly.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Clean audit report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Budget $15–20K. This is table stakes for institutional clients.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Month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First $1M in AUM deployed on mainnet. First FINMA report generated.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$1M AUM, $1,250 MRR (fees)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AMINA pilot live. Begin charging the management fee.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Month 4</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Second client signed. Attend Token2049 Singapore.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 clients, $2.5K MRR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Warm intro from StableHacks judges. Use AMINA reference.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Month 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Publish 'The Institutional DeFi Compliance Guide.' Distribute to 500 treasury professionals on LinkedIn.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1,000 LinkedIn followers, 3 inbound leads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LinkedIn ads targeted at 'Head of Digital Assets' job title in Switzerland, Singapore, UAE.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Month 6</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Third client signed. $50M AUM milestone.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3 clients, $50M AUM, $8.3K MRR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Reference from AMINA. Conference presentation at EthCC or similar.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Month 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 clients, $250M AUM. Begin Series A fundraise.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$250M AUM, $41.7K MRR ($500K ARR run 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Series A deck built on this traction data.</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Month 12</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Series A closed. White-label API launched.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$1M ARR, 10 clients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Series A investors from StableHacks and accelerator network.</w:t>
            </w:r>
          </w:p>
        </w:tc>
      </w:tr>
    </w:tbl>
    <w:p>
      <w:r>
        <w:br w:type="page"/>
      </w:r>
    </w:p>
    <w:p>
      <w:pPr>
        <w:pStyle w:val="Heading1"/>
        <w:pBdr>
          <w:bottom w:val="single" w:color="1B2A6B" w:sz="8" w:space="4"/>
        </w:pBdr>
        <w:spacing w:after="160" w:before="480"/>
      </w:pPr>
      <w:r>
        <w:rPr>
          <w:rFonts w:ascii="Arial" w:cs="Arial" w:eastAsia="Arial" w:hAnsi="Arial"/>
          <w:b/>
          <w:bCs/>
          <w:color w:val="1B2A6B"/>
          <w:sz w:val="40"/>
          <w:szCs w:val="40"/>
        </w:rPr>
        <w:t xml:space="preserve">12. Fundraising Strategy</w:t>
      </w:r>
    </w:p>
    <w:p>
      <w:pPr>
        <w:pStyle w:val="Heading2"/>
        <w:spacing w:after="100" w:before="300"/>
      </w:pPr>
      <w:r>
        <w:rPr>
          <w:rFonts w:ascii="Arial" w:cs="Arial" w:eastAsia="Arial" w:hAnsi="Arial"/>
          <w:b/>
          <w:bCs/>
          <w:color w:val="1B2A6B"/>
          <w:sz w:val="28"/>
          <w:szCs w:val="28"/>
        </w:rPr>
        <w:t xml:space="preserve">12.1  Pre-Seed Round — $750K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B2A6B" w:val="clear"/>
            <w:tcMar>
              <w:top w:type="dxa" w:w="0"/>
              <w:left w:type="dxa" w:w="0"/>
              <w:bottom w:type="dxa" w:w="0"/>
              <w:right w:type="dxa" w:w="0"/>
            </w:tcMar>
          </w:tcPr>
          <w:p>
            <w:pPr>
              <w:spacing w:after="0" w:before="0"/>
            </w:pPr>
            <w:r>
              <w:t xml:space="preserve"/>
            </w:r>
          </w:p>
        </w:tc>
        <w:tc>
          <w:tcPr>
            <w:tcW w:type="dxa" w:w="9160"/>
            <w:tcBorders>
              <w:top w:val="none" w:color="FFFFFF" w:sz="0"/>
              <w:left w:val="none" w:color="FFFFFF" w:sz="0"/>
              <w:bottom w:val="none" w:color="FFFFFF" w:sz="0"/>
              <w:right w:val="none" w:color="FFFFFF" w:sz="0"/>
            </w:tcBorders>
            <w:shd w:fill="EEF1FA" w:val="clear"/>
            <w:tcMar>
              <w:top w:type="dxa" w:w="120"/>
              <w:left w:type="dxa" w:w="220"/>
              <w:bottom w:type="dxa" w:w="120"/>
              <w:right w:type="dxa" w:w="160"/>
            </w:tcMar>
          </w:tcPr>
          <w:p>
            <w:pPr>
              <w:spacing w:after="40" w:before="0"/>
            </w:pPr>
            <w:r>
              <w:rPr>
                <w:rFonts w:ascii="Arial" w:cs="Arial" w:eastAsia="Arial" w:hAnsi="Arial"/>
                <w:b/>
                <w:bCs/>
                <w:caps/>
                <w:color w:val="1B2A6B"/>
                <w:sz w:val="18"/>
                <w:szCs w:val="18"/>
              </w:rPr>
              <w:t xml:space="preserve">USE OF FUNDS — ISKOLD RULE APPLIED</w:t>
            </w:r>
          </w:p>
          <w:p>
            <w:pPr>
              <w:spacing w:after="0" w:before="0"/>
            </w:pPr>
            <w:r>
              <w:rPr>
                <w:rFonts w:ascii="Arial" w:cs="Arial" w:eastAsia="Arial" w:hAnsi="Arial"/>
                <w:color w:val="0D0D0D"/>
                <w:sz w:val="21"/>
                <w:szCs w:val="21"/>
              </w:rPr>
              <w:t xml:space="preserve">Never say 'for engineers' or 'for runway.' Say: We are raising $750K to close the AMINA Bank pilot, complete the Softstack smart contract audit, acquire 5 paying institutional clients, and reach $500K ARR.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Use of Funds</w:t>
            </w:r>
          </w:p>
        </w:tc>
        <w:tc>
          <w:tcPr>
            <w:tcW w:type="dxa" w:w="312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Amount</w:t>
            </w:r>
          </w:p>
        </w:tc>
        <w:tc>
          <w:tcPr>
            <w:tcW w:type="dxa" w:w="312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Milestone It Buys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Smart contract audit (Softstack)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Audit is required before any institution deploys real capital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Legal: Swiss entity + FINMA counsel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$60,000</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Swiss legal entity is required for FINMA-aligned institutional clients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Fireblocks enterprise integration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$30,000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Production-grade custody for pilot clients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TRM Labs + Notabene production tier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$25,000</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Enterprise API access for real institutional volume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AMINA Bank pilot support (3 months)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$40,000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Dedicated technical support during pilot period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Marketing: conferences + content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$100,000</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Token2049, EthCC, Davos side events, LinkedIn content programme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Team salaries (12 months, 4 founders)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$400,000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 founders × $100K — institutional clients expect a professional team</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Infrastructure (12 months)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$40,000</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RPC nodes, cloud, monitoring, Helius premium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Buffer and legal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$35,000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Unexpected regulatory or partnership requirements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TOTAL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$750,000</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5 clients, $250M AUM, $500K ARR</w:t>
            </w:r>
          </w:p>
        </w:tc>
      </w:tr>
    </w:tbl>
    <w:p>
      <w:pPr>
        <w:spacing w:after="0" w:before="60"/>
      </w:pPr>
      <w:r>
        <w:t xml:space="preserve"/>
      </w:r>
    </w:p>
    <w:p>
      <w:pPr>
        <w:pStyle w:val="Heading2"/>
        <w:spacing w:after="100" w:before="300"/>
      </w:pPr>
      <w:r>
        <w:rPr>
          <w:rFonts w:ascii="Arial" w:cs="Arial" w:eastAsia="Arial" w:hAnsi="Arial"/>
          <w:b/>
          <w:bCs/>
          <w:color w:val="1B2A6B"/>
          <w:sz w:val="28"/>
          <w:szCs w:val="28"/>
        </w:rPr>
        <w:t xml:space="preserve">12.2  Fundraising Process</w:t>
      </w:r>
    </w:p>
    <w:p>
      <w:pPr>
        <w:pStyle w:val="ListParagraph"/>
        <w:numPr>
          <w:ilvl w:val="0"/>
          <w:numId w:val="2"/>
        </w:numPr>
        <w:spacing w:after="40" w:before="40"/>
      </w:pPr>
      <w:r>
        <w:rPr>
          <w:rFonts w:ascii="Arial" w:cs="Arial" w:eastAsia="Arial" w:hAnsi="Arial"/>
          <w:b/>
          <w:bCs/>
          <w:color w:val="1B2A6B"/>
          <w:sz w:val="22"/>
          <w:szCs w:val="22"/>
        </w:rPr>
        <w:t xml:space="preserve">STEP 1 </w:t>
      </w:r>
      <w:r>
        <w:rPr>
          <w:rFonts w:ascii="Arial" w:cs="Arial" w:eastAsia="Arial" w:hAnsi="Arial"/>
          <w:sz w:val="22"/>
          <w:szCs w:val="22"/>
        </w:rPr>
        <w:t xml:space="preserve">Build investor list first: 40 names. Each with WHY they are a fit written next to their name. If you cannot write the WHY, remove them.</w:t>
      </w:r>
    </w:p>
    <w:p>
      <w:pPr>
        <w:pStyle w:val="ListParagraph"/>
        <w:numPr>
          <w:ilvl w:val="0"/>
          <w:numId w:val="2"/>
        </w:numPr>
        <w:spacing w:after="40" w:before="40"/>
      </w:pPr>
      <w:r>
        <w:rPr>
          <w:rFonts w:ascii="Arial" w:cs="Arial" w:eastAsia="Arial" w:hAnsi="Arial"/>
          <w:b/>
          <w:bCs/>
          <w:color w:val="1B2A6B"/>
          <w:sz w:val="22"/>
          <w:szCs w:val="22"/>
        </w:rPr>
        <w:t xml:space="preserve">STEP 2 </w:t>
      </w:r>
      <w:r>
        <w:rPr>
          <w:rFonts w:ascii="Arial" w:cs="Arial" w:eastAsia="Arial" w:hAnsi="Arial"/>
          <w:sz w:val="22"/>
          <w:szCs w:val="22"/>
        </w:rPr>
        <w:t xml:space="preserve">AMINA Bank pilot agreement is your most powerful fundraising asset. A signed LOI from a regulated Swiss bank is worth 10 cold VC meetings.</w:t>
      </w:r>
    </w:p>
    <w:p>
      <w:pPr>
        <w:pStyle w:val="ListParagraph"/>
        <w:numPr>
          <w:ilvl w:val="0"/>
          <w:numId w:val="2"/>
        </w:numPr>
        <w:spacing w:after="40" w:before="40"/>
      </w:pPr>
      <w:r>
        <w:rPr>
          <w:rFonts w:ascii="Arial" w:cs="Arial" w:eastAsia="Arial" w:hAnsi="Arial"/>
          <w:b/>
          <w:bCs/>
          <w:color w:val="1B2A6B"/>
          <w:sz w:val="22"/>
          <w:szCs w:val="22"/>
        </w:rPr>
        <w:t xml:space="preserve">STEP 3 </w:t>
      </w:r>
      <w:r>
        <w:rPr>
          <w:rFonts w:ascii="Arial" w:cs="Arial" w:eastAsia="Arial" w:hAnsi="Arial"/>
          <w:sz w:val="22"/>
          <w:szCs w:val="22"/>
        </w:rPr>
        <w:t xml:space="preserve">CEO-only outreach. Never a co-founder, never an advisor firm. Iskold says this is an instant negative signal.</w:t>
      </w:r>
    </w:p>
    <w:p>
      <w:pPr>
        <w:pStyle w:val="ListParagraph"/>
        <w:numPr>
          <w:ilvl w:val="0"/>
          <w:numId w:val="2"/>
        </w:numPr>
        <w:spacing w:after="40" w:before="40"/>
      </w:pPr>
      <w:r>
        <w:rPr>
          <w:rFonts w:ascii="Arial" w:cs="Arial" w:eastAsia="Arial" w:hAnsi="Arial"/>
          <w:b/>
          <w:bCs/>
          <w:color w:val="1B2A6B"/>
          <w:sz w:val="22"/>
          <w:szCs w:val="22"/>
        </w:rPr>
        <w:t xml:space="preserve">STEP 4 </w:t>
      </w:r>
      <w:r>
        <w:rPr>
          <w:rFonts w:ascii="Arial" w:cs="Arial" w:eastAsia="Arial" w:hAnsi="Arial"/>
          <w:sz w:val="22"/>
          <w:szCs w:val="22"/>
        </w:rPr>
        <w:t xml:space="preserve">Warm introductions only where possible. StableHacks judges are your intro network. Email them within 48 hours of results.</w:t>
      </w:r>
    </w:p>
    <w:p>
      <w:pPr>
        <w:pStyle w:val="ListParagraph"/>
        <w:numPr>
          <w:ilvl w:val="0"/>
          <w:numId w:val="2"/>
        </w:numPr>
        <w:spacing w:after="40" w:before="40"/>
      </w:pPr>
      <w:r>
        <w:rPr>
          <w:rFonts w:ascii="Arial" w:cs="Arial" w:eastAsia="Arial" w:hAnsi="Arial"/>
          <w:b/>
          <w:bCs/>
          <w:color w:val="1B2A6B"/>
          <w:sz w:val="22"/>
          <w:szCs w:val="22"/>
        </w:rPr>
        <w:t xml:space="preserve">STEP 5 </w:t>
      </w:r>
      <w:r>
        <w:rPr>
          <w:rFonts w:ascii="Arial" w:cs="Arial" w:eastAsia="Arial" w:hAnsi="Arial"/>
          <w:sz w:val="22"/>
          <w:szCs w:val="22"/>
        </w:rPr>
        <w:t xml:space="preserve">Monthly investor updates — even to investors who have not committed. Consistent updates build credibility over time.</w:t>
      </w:r>
    </w:p>
    <w:p>
      <w:r>
        <w:br w:type="page"/>
      </w:r>
    </w:p>
    <w:p>
      <w:pPr>
        <w:pStyle w:val="Heading1"/>
        <w:pBdr>
          <w:bottom w:val="single" w:color="1B2A6B" w:sz="8" w:space="4"/>
        </w:pBdr>
        <w:spacing w:after="160" w:before="480"/>
      </w:pPr>
      <w:r>
        <w:rPr>
          <w:rFonts w:ascii="Arial" w:cs="Arial" w:eastAsia="Arial" w:hAnsi="Arial"/>
          <w:b/>
          <w:bCs/>
          <w:color w:val="1B2A6B"/>
          <w:sz w:val="40"/>
          <w:szCs w:val="40"/>
        </w:rPr>
        <w:t xml:space="preserve">13. 30 Investor Questions — Your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Investor Question</w:t>
            </w:r>
          </w:p>
        </w:tc>
        <w:tc>
          <w:tcPr>
            <w:tcW w:type="dxa" w:w="468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Your Answer (Memorise)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What do you do?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ComplianceVault lets regulated institutions earn 4–12% APY on USDC holdings on Solana — with KYC, AML, Travel Rule, and fund segregation enforced at the smart contract level.</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Why now?</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Three regulatory events passed in 2025: GENIUS Act, Hong Kong Stablecoin Bill, Swiss MiCA alignment. Institutions are NOW legally cleared to deploy stablecoins. The window to become the compliant vault standard opened 6 months ago.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Who is the customer?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Yannick at AMINA Bank. Head of Digital Assets Treasury. Holds $200M in USDC earning 0.3%. Needs a product that FINMA, his compliance team, and his board will approve. That is our buyer.</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What is the market?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50 European institutional clients × $50M AUM × 0.20% fee = $5M ARR. 1% of the $200B institutional stablecoin market = $400M fee pool. We are not going after all of it — just the regulated European segment first.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How do you make money?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0.20% annual management fee on AUM. $25K setup fee per client. $500/compliance report. 93% gross margin.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Who are competitors?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Maple Finance, Centrifuge, Ondo. Their weakness: no on-chain KYC enforcement, no PDA-level fund segregation. Traditional prime brokers: they offer 0.3% on USDC. We offer 4–12%.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What is your moat?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On-chain KYC enforcement at the smart contract instruction level — the first implementation of this on Solana. PDA-level fund segregation. Switching cost: institutions who run compliance history through our vault cannot easily move it.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Why are YOU the team?</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We built this compliance stack in 9 days for StableHacks 2026. We understand Anchor, Civic Pass, TRM Labs, Notabene, and Fireblocks at an engineering level. We are talking to AMINA Bank about a pilot.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What is your traction?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StableHacks finalist/winner. Working Solana devnet program with full compliance stack. AMINA Bank pilot conversation in progress.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How much and why?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$750K pre-seed to close AMINA pilot, complete smart contract audit, acquire 5 clients, and reach $500K ARR.</w:t>
            </w:r>
          </w:p>
        </w:tc>
      </w:tr>
    </w:tbl>
    <w:p>
      <w:r>
        <w:br w:type="page"/>
      </w:r>
    </w:p>
    <w:p>
      <w:pPr>
        <w:pStyle w:val="Heading1"/>
        <w:pBdr>
          <w:bottom w:val="single" w:color="1B2A6B" w:sz="8" w:space="4"/>
        </w:pBdr>
        <w:spacing w:after="160" w:before="480"/>
      </w:pPr>
      <w:r>
        <w:rPr>
          <w:rFonts w:ascii="Arial" w:cs="Arial" w:eastAsia="Arial" w:hAnsi="Arial"/>
          <w:b/>
          <w:bCs/>
          <w:color w:val="1B2A6B"/>
          <w:sz w:val="40"/>
          <w:szCs w:val="40"/>
        </w:rPr>
        <w:t xml:space="preserve">14. Final Submission Checklist</w:t>
      </w:r>
    </w:p>
    <w:p>
      <w:pPr>
        <w:pStyle w:val="Heading2"/>
        <w:spacing w:after="100" w:before="300"/>
      </w:pPr>
      <w:r>
        <w:rPr>
          <w:rFonts w:ascii="Arial" w:cs="Arial" w:eastAsia="Arial" w:hAnsi="Arial"/>
          <w:b/>
          <w:bCs/>
          <w:color w:val="1B2A6B"/>
          <w:sz w:val="28"/>
          <w:szCs w:val="28"/>
        </w:rPr>
        <w:t xml:space="preserve">DoraHacks Submission — Due 22 March 2026, 15:00 CET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62828" w:val="clear"/>
            <w:tcMar>
              <w:top w:type="dxa" w:w="0"/>
              <w:left w:type="dxa" w:w="0"/>
              <w:bottom w:type="dxa" w:w="0"/>
              <w:right w:type="dxa" w:w="0"/>
            </w:tcMar>
          </w:tcPr>
          <w:p>
            <w:pPr>
              <w:spacing w:after="0" w:before="0"/>
            </w:pPr>
            <w:r>
              <w:t xml:space="preserve"/>
            </w:r>
          </w:p>
        </w:tc>
        <w:tc>
          <w:tcPr>
            <w:tcW w:type="dxa" w:w="9160"/>
            <w:tcBorders>
              <w:top w:val="none" w:color="FFFFFF" w:sz="0"/>
              <w:left w:val="none" w:color="FFFFFF" w:sz="0"/>
              <w:bottom w:val="none" w:color="FFFFFF" w:sz="0"/>
              <w:right w:val="none" w:color="FFFFFF" w:sz="0"/>
            </w:tcBorders>
            <w:shd w:fill="FFEBEE" w:val="clear"/>
            <w:tcMar>
              <w:top w:type="dxa" w:w="120"/>
              <w:left w:type="dxa" w:w="220"/>
              <w:bottom w:type="dxa" w:w="120"/>
              <w:right w:type="dxa" w:w="160"/>
            </w:tcMar>
          </w:tcPr>
          <w:p>
            <w:pPr>
              <w:spacing w:after="40" w:before="0"/>
            </w:pPr>
            <w:r>
              <w:rPr>
                <w:rFonts w:ascii="Arial" w:cs="Arial" w:eastAsia="Arial" w:hAnsi="Arial"/>
                <w:b/>
                <w:bCs/>
                <w:caps/>
                <w:color w:val="C62828"/>
                <w:sz w:val="18"/>
                <w:szCs w:val="18"/>
              </w:rPr>
              <w:t xml:space="preserve">9 DAYS LEFT — TODAY IS DAY 1</w:t>
            </w:r>
          </w:p>
          <w:p>
            <w:pPr>
              <w:spacing w:after="0" w:before="0"/>
            </w:pPr>
            <w:r>
              <w:rPr>
                <w:rFonts w:ascii="Arial" w:cs="Arial" w:eastAsia="Arial" w:hAnsi="Arial"/>
                <w:color w:val="0D0D0D"/>
                <w:sz w:val="21"/>
                <w:szCs w:val="21"/>
              </w:rPr>
              <w:t xml:space="preserve">Every item below must be checked before 15:00 CET on 22 March. M4 owns the submission. M1 verifies GitHub. All members sign off on the demo video before it uploads.</w:t>
            </w:r>
          </w:p>
        </w:tc>
      </w:tr>
    </w:tbl>
    <w:p>
      <w:pPr>
        <w:spacing w:after="0" w:before="60"/>
      </w:pPr>
      <w:r>
        <w:t xml:space="preserve"/>
      </w:r>
    </w:p>
    <w:p>
      <w:pPr>
        <w:pStyle w:val="ListParagraph"/>
        <w:numPr>
          <w:ilvl w:val="0"/>
          <w:numId w:val="3"/>
        </w:numPr>
        <w:spacing w:after="40" w:before="40"/>
      </w:pPr>
      <w:r>
        <w:rPr>
          <w:rFonts w:ascii="Arial" w:cs="Arial" w:eastAsia="Arial" w:hAnsi="Arial"/>
          <w:b/>
          <w:bCs/>
          <w:color w:val="555555"/>
          <w:sz w:val="22"/>
          <w:szCs w:val="22"/>
        </w:rPr>
        <w:t xml:space="preserve">Field 1: </w:t>
      </w:r>
      <w:r>
        <w:rPr>
          <w:rFonts w:ascii="Arial" w:cs="Arial" w:eastAsia="Arial" w:hAnsi="Arial"/>
          <w:sz w:val="22"/>
          <w:szCs w:val="22"/>
        </w:rPr>
        <w:t xml:space="preserve">Project name: ComplianceVault — Permissioned Institutional DeFi Vault on Solana</w:t>
      </w:r>
    </w:p>
    <w:p>
      <w:pPr>
        <w:pStyle w:val="ListParagraph"/>
        <w:numPr>
          <w:ilvl w:val="0"/>
          <w:numId w:val="3"/>
        </w:numPr>
        <w:spacing w:after="40" w:before="40"/>
      </w:pPr>
      <w:r>
        <w:rPr>
          <w:rFonts w:ascii="Arial" w:cs="Arial" w:eastAsia="Arial" w:hAnsi="Arial"/>
          <w:b/>
          <w:bCs/>
          <w:color w:val="555555"/>
          <w:sz w:val="22"/>
          <w:szCs w:val="22"/>
        </w:rPr>
        <w:t xml:space="preserve">Field 2: </w:t>
      </w:r>
      <w:r>
        <w:rPr>
          <w:rFonts w:ascii="Arial" w:cs="Arial" w:eastAsia="Arial" w:hAnsi="Arial"/>
          <w:sz w:val="22"/>
          <w:szCs w:val="22"/>
        </w:rPr>
        <w:t xml:space="preserve">Track: Institutional Permissioned DeFi Vaults</w:t>
      </w:r>
    </w:p>
    <w:p>
      <w:pPr>
        <w:pStyle w:val="ListParagraph"/>
        <w:numPr>
          <w:ilvl w:val="0"/>
          <w:numId w:val="3"/>
        </w:numPr>
        <w:spacing w:after="40" w:before="40"/>
      </w:pPr>
      <w:r>
        <w:rPr>
          <w:rFonts w:ascii="Arial" w:cs="Arial" w:eastAsia="Arial" w:hAnsi="Arial"/>
          <w:b/>
          <w:bCs/>
          <w:color w:val="555555"/>
          <w:sz w:val="22"/>
          <w:szCs w:val="22"/>
        </w:rPr>
        <w:t xml:space="preserve">Field 3: </w:t>
      </w:r>
      <w:r>
        <w:rPr>
          <w:rFonts w:ascii="Arial" w:cs="Arial" w:eastAsia="Arial" w:hAnsi="Arial"/>
          <w:sz w:val="22"/>
          <w:szCs w:val="22"/>
        </w:rPr>
        <w:t xml:space="preserve">Team: all 4 members, roles, countries. CEO first.</w:t>
      </w:r>
    </w:p>
    <w:p>
      <w:pPr>
        <w:pStyle w:val="ListParagraph"/>
        <w:numPr>
          <w:ilvl w:val="0"/>
          <w:numId w:val="3"/>
        </w:numPr>
        <w:spacing w:after="40" w:before="40"/>
      </w:pPr>
      <w:r>
        <w:rPr>
          <w:rFonts w:ascii="Arial" w:cs="Arial" w:eastAsia="Arial" w:hAnsi="Arial"/>
          <w:b/>
          <w:bCs/>
          <w:color w:val="555555"/>
          <w:sz w:val="22"/>
          <w:szCs w:val="22"/>
        </w:rPr>
        <w:t xml:space="preserve">Required: </w:t>
      </w:r>
      <w:r>
        <w:rPr>
          <w:rFonts w:ascii="Arial" w:cs="Arial" w:eastAsia="Arial" w:hAnsi="Arial"/>
          <w:sz w:val="22"/>
          <w:szCs w:val="22"/>
        </w:rPr>
        <w:t xml:space="preserve">3-minute Loom demo video: voice on, wallet connect, deposit, compliance flow, PDF report download</w:t>
      </w:r>
    </w:p>
    <w:p>
      <w:pPr>
        <w:pStyle w:val="ListParagraph"/>
        <w:numPr>
          <w:ilvl w:val="0"/>
          <w:numId w:val="3"/>
        </w:numPr>
        <w:spacing w:after="40" w:before="40"/>
      </w:pPr>
      <w:r>
        <w:rPr>
          <w:rFonts w:ascii="Arial" w:cs="Arial" w:eastAsia="Arial" w:hAnsi="Arial"/>
          <w:b/>
          <w:bCs/>
          <w:color w:val="555555"/>
          <w:sz w:val="22"/>
          <w:szCs w:val="22"/>
        </w:rPr>
        <w:t xml:space="preserve">Required: </w:t>
      </w:r>
      <w:r>
        <w:rPr>
          <w:rFonts w:ascii="Arial" w:cs="Arial" w:eastAsia="Arial" w:hAnsi="Arial"/>
          <w:sz w:val="22"/>
          <w:szCs w:val="22"/>
        </w:rPr>
        <w:t xml:space="preserve">Technical overview video (5 min): walk through Anchor program code, PDA architecture, compliance stack</w:t>
      </w:r>
    </w:p>
    <w:p>
      <w:pPr>
        <w:pStyle w:val="ListParagraph"/>
        <w:numPr>
          <w:ilvl w:val="0"/>
          <w:numId w:val="3"/>
        </w:numPr>
        <w:spacing w:after="40" w:before="40"/>
      </w:pPr>
      <w:r>
        <w:rPr>
          <w:rFonts w:ascii="Arial" w:cs="Arial" w:eastAsia="Arial" w:hAnsi="Arial"/>
          <w:b/>
          <w:bCs/>
          <w:color w:val="555555"/>
          <w:sz w:val="22"/>
          <w:szCs w:val="22"/>
        </w:rPr>
        <w:t xml:space="preserve">Required: </w:t>
      </w:r>
      <w:r>
        <w:rPr>
          <w:rFonts w:ascii="Arial" w:cs="Arial" w:eastAsia="Arial" w:hAnsi="Arial"/>
          <w:sz w:val="22"/>
          <w:szCs w:val="22"/>
        </w:rPr>
        <w:t xml:space="preserve">Public GitHub repo: Anchor program, TypeScript API, Lovable frontend, README with devnet setup instructions</w:t>
      </w:r>
    </w:p>
    <w:p>
      <w:pPr>
        <w:pStyle w:val="ListParagraph"/>
        <w:numPr>
          <w:ilvl w:val="0"/>
          <w:numId w:val="3"/>
        </w:numPr>
        <w:spacing w:after="40" w:before="40"/>
      </w:pPr>
      <w:r>
        <w:rPr>
          <w:rFonts w:ascii="Arial" w:cs="Arial" w:eastAsia="Arial" w:hAnsi="Arial"/>
          <w:b/>
          <w:bCs/>
          <w:color w:val="555555"/>
          <w:sz w:val="22"/>
          <w:szCs w:val="22"/>
        </w:rPr>
        <w:t xml:space="preserve">Required: </w:t>
      </w:r>
      <w:r>
        <w:rPr>
          <w:rFonts w:ascii="Arial" w:cs="Arial" w:eastAsia="Arial" w:hAnsi="Arial"/>
          <w:sz w:val="22"/>
          <w:szCs w:val="22"/>
        </w:rPr>
        <w:t xml:space="preserve">Solana devnet explorer link: at least 2 deposit transactions from your program ID</w:t>
      </w:r>
    </w:p>
    <w:p>
      <w:pPr>
        <w:pStyle w:val="ListParagraph"/>
        <w:numPr>
          <w:ilvl w:val="0"/>
          <w:numId w:val="3"/>
        </w:numPr>
        <w:spacing w:after="40" w:before="40"/>
      </w:pPr>
      <w:r>
        <w:rPr>
          <w:rFonts w:ascii="Arial" w:cs="Arial" w:eastAsia="Arial" w:hAnsi="Arial"/>
          <w:b/>
          <w:bCs/>
          <w:color w:val="555555"/>
          <w:sz w:val="22"/>
          <w:szCs w:val="22"/>
        </w:rPr>
        <w:t xml:space="preserve">CRITICAL: </w:t>
      </w:r>
      <w:r>
        <w:rPr>
          <w:rFonts w:ascii="Arial" w:cs="Arial" w:eastAsia="Arial" w:hAnsi="Arial"/>
          <w:sz w:val="22"/>
          <w:szCs w:val="22"/>
        </w:rPr>
        <w:t xml:space="preserve">Submit minimum 12 hours before deadline — DoraHacks can be slow under load</w:t>
      </w:r>
    </w:p>
    <w:p>
      <w:pPr>
        <w:spacing w:after="0" w:before="60"/>
      </w:pPr>
      <w:r>
        <w:t xml:space="preserve"/>
      </w:r>
    </w:p>
    <w:p>
      <w:pPr>
        <w:pStyle w:val="Heading2"/>
        <w:spacing w:after="100" w:before="300"/>
      </w:pPr>
      <w:r>
        <w:rPr>
          <w:rFonts w:ascii="Arial" w:cs="Arial" w:eastAsia="Arial" w:hAnsi="Arial"/>
          <w:b/>
          <w:bCs/>
          <w:color w:val="1B2A6B"/>
          <w:sz w:val="28"/>
          <w:szCs w:val="28"/>
        </w:rPr>
        <w:t xml:space="preserve">Post-Submission — Within 48 Hours of Results</w:t>
      </w:r>
    </w:p>
    <w:p>
      <w:pPr>
        <w:pStyle w:val="ListParagraph"/>
        <w:numPr>
          <w:ilvl w:val="0"/>
          <w:numId w:val="3"/>
        </w:numPr>
        <w:spacing w:after="40" w:before="40"/>
      </w:pPr>
      <w:r>
        <w:rPr>
          <w:rFonts w:ascii="Arial" w:cs="Arial" w:eastAsia="Arial" w:hAnsi="Arial"/>
          <w:sz w:val="22"/>
          <w:szCs w:val="22"/>
        </w:rPr>
        <w:t xml:space="preserve">Email AMINA Bank representative who judged: share repo, ask for follow-up pilot conversation</w:t>
      </w:r>
    </w:p>
    <w:p>
      <w:pPr>
        <w:pStyle w:val="ListParagraph"/>
        <w:numPr>
          <w:ilvl w:val="0"/>
          <w:numId w:val="3"/>
        </w:numPr>
        <w:spacing w:after="40" w:before="40"/>
      </w:pPr>
      <w:r>
        <w:rPr>
          <w:rFonts w:ascii="Arial" w:cs="Arial" w:eastAsia="Arial" w:hAnsi="Arial"/>
          <w:sz w:val="22"/>
          <w:szCs w:val="22"/>
        </w:rPr>
        <w:t xml:space="preserve">Email Keyrock, Solana Foundation, UBS, Fireblocks contacts from StableHacks: thank them, share repo</w:t>
      </w:r>
    </w:p>
    <w:p>
      <w:pPr>
        <w:pStyle w:val="ListParagraph"/>
        <w:numPr>
          <w:ilvl w:val="0"/>
          <w:numId w:val="3"/>
        </w:numPr>
        <w:spacing w:after="40" w:before="40"/>
      </w:pPr>
      <w:r>
        <w:rPr>
          <w:rFonts w:ascii="Arial" w:cs="Arial" w:eastAsia="Arial" w:hAnsi="Arial"/>
          <w:sz w:val="22"/>
          <w:szCs w:val="22"/>
        </w:rPr>
        <w:t xml:space="preserve">Post on LinkedIn and Twitter: 'We just competed in StableHacks 2026. ComplianceVault — institutional DeFi vault on Solana with on-chain KYC enforcement. [Demo] [GitHub]'</w:t>
      </w:r>
    </w:p>
    <w:p>
      <w:pPr>
        <w:pStyle w:val="ListParagraph"/>
        <w:numPr>
          <w:ilvl w:val="0"/>
          <w:numId w:val="3"/>
        </w:numPr>
        <w:spacing w:after="40" w:before="40"/>
      </w:pPr>
      <w:r>
        <w:rPr>
          <w:rFonts w:ascii="Arial" w:cs="Arial" w:eastAsia="Arial" w:hAnsi="Arial"/>
          <w:sz w:val="22"/>
          <w:szCs w:val="22"/>
        </w:rPr>
        <w:t xml:space="preserve">Apply to Outlier Ventures Base Camp within 48 hours</w:t>
      </w:r>
    </w:p>
    <w:p>
      <w:pPr>
        <w:pStyle w:val="ListParagraph"/>
        <w:numPr>
          <w:ilvl w:val="0"/>
          <w:numId w:val="3"/>
        </w:numPr>
        <w:spacing w:after="40" w:before="40"/>
      </w:pPr>
      <w:r>
        <w:rPr>
          <w:rFonts w:ascii="Arial" w:cs="Arial" w:eastAsia="Arial" w:hAnsi="Arial"/>
          <w:sz w:val="22"/>
          <w:szCs w:val="22"/>
        </w:rPr>
        <w:t xml:space="preserve">Apply to Y Combinator if cycle is open</w:t>
      </w:r>
    </w:p>
    <w:p>
      <w:pPr>
        <w:pStyle w:val="ListParagraph"/>
        <w:numPr>
          <w:ilvl w:val="0"/>
          <w:numId w:val="3"/>
        </w:numPr>
        <w:spacing w:after="40" w:before="40"/>
      </w:pPr>
      <w:r>
        <w:rPr>
          <w:rFonts w:ascii="Arial" w:cs="Arial" w:eastAsia="Arial" w:hAnsi="Arial"/>
          <w:sz w:val="22"/>
          <w:szCs w:val="22"/>
        </w:rPr>
        <w:t xml:space="preserve">Build investor funnel spreadsheet: 40 names, WHY column filled for each</w:t>
      </w:r>
    </w:p>
    <w:p>
      <w:pPr>
        <w:pStyle w:val="ListParagraph"/>
        <w:numPr>
          <w:ilvl w:val="0"/>
          <w:numId w:val="3"/>
        </w:numPr>
        <w:spacing w:after="40" w:before="40"/>
      </w:pPr>
      <w:r>
        <w:rPr>
          <w:rFonts w:ascii="Arial" w:cs="Arial" w:eastAsia="Arial" w:hAnsi="Arial"/>
          <w:sz w:val="22"/>
          <w:szCs w:val="22"/>
        </w:rPr>
        <w:t xml:space="preserve">Book flights to Zurich for Demo Day if in Top 10 — that presentation is worth $100K+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sz w:val="40"/>
      <w:szCs w:val="40"/>
    </w:rPr>
  </w:style>
  <w:style w:type="paragraph" w:styleId="Heading2">
    <w:name w:val="Heading 2"/>
    <w:basedOn w:val="Normal"/>
    <w:next w:val="Normal"/>
    <w:qFormat/>
    <w:pPr>
      <w:spacing w:after="100" w:before="3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2026-03-12T18:37:21.377Z</dcterms:created>
  <dcterms:modified xsi:type="dcterms:W3CDTF">2026-03-12T18:37:21.378Z</dcterms:modified>
</cp:coreProperties>
</file>

<file path=docProps/custom.xml><?xml version="1.0" encoding="utf-8"?>
<Properties xmlns="http://schemas.openxmlformats.org/officeDocument/2006/custom-properties" xmlns:vt="http://schemas.openxmlformats.org/officeDocument/2006/docPropsVTypes"/>
</file>