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sz w:val="24"/>
          <w:szCs w:val="24"/>
          <w:u w:val="none"/>
        </w:rPr>
      </w:pPr>
      <w:hyperlink w:anchor="kyy5gi7qupo">
        <w:r w:rsidDel="00000000" w:rsidR="00000000" w:rsidRPr="00000000">
          <w:rPr>
            <w:color w:val="1155cc"/>
            <w:sz w:val="24"/>
            <w:szCs w:val="24"/>
            <w:u w:val="single"/>
            <w:rtl w:val="0"/>
          </w:rPr>
          <w:t xml:space="preserve">Abstract </w:t>
        </w:r>
      </w:hyperlink>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sz w:val="24"/>
          <w:szCs w:val="24"/>
          <w:u w:val="none"/>
        </w:rPr>
      </w:pPr>
      <w:hyperlink w:anchor="dqo96q10zrvd">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u w:val="none"/>
        </w:rPr>
      </w:pPr>
      <w:hyperlink w:anchor="p9g949x9x7ho">
        <w:r w:rsidDel="00000000" w:rsidR="00000000" w:rsidRPr="00000000">
          <w:rPr>
            <w:color w:val="1155cc"/>
            <w:sz w:val="24"/>
            <w:szCs w:val="24"/>
            <w:u w:val="single"/>
            <w:rtl w:val="0"/>
          </w:rPr>
          <w:t xml:space="preserve">Carbon Flux and Its Importance</w:t>
        </w:r>
      </w:hyperlink>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u w:val="none"/>
        </w:rPr>
      </w:pPr>
      <w:hyperlink w:anchor="jrslitwa3jx9">
        <w:r w:rsidDel="00000000" w:rsidR="00000000" w:rsidRPr="00000000">
          <w:rPr>
            <w:color w:val="1155cc"/>
            <w:sz w:val="24"/>
            <w:szCs w:val="24"/>
            <w:u w:val="single"/>
            <w:rtl w:val="0"/>
          </w:rPr>
          <w:t xml:space="preserve">Stokes Law and Predicting Sinking Speeds</w:t>
        </w:r>
      </w:hyperlink>
      <w:r w:rsidDel="00000000" w:rsidR="00000000" w:rsidRPr="00000000">
        <w:rPr>
          <w:sz w:val="24"/>
          <w:szCs w:val="24"/>
          <w:rtl w:val="0"/>
        </w:rPr>
        <w:br w:type="textWrapping"/>
        <w:t xml:space="preserve">A.</w:t>
      </w:r>
      <w:hyperlink w:anchor="kix.7ieeqfjwgx5m">
        <w:r w:rsidDel="00000000" w:rsidR="00000000" w:rsidRPr="00000000">
          <w:rPr>
            <w:color w:val="1155cc"/>
            <w:sz w:val="24"/>
            <w:szCs w:val="24"/>
            <w:u w:val="single"/>
            <w:rtl w:val="0"/>
          </w:rPr>
          <w:t xml:space="preserve"> Particle Size and Sinking Speed Estimates</w:t>
        </w:r>
      </w:hyperlink>
      <w:r w:rsidDel="00000000" w:rsidR="00000000" w:rsidRPr="00000000">
        <w:rPr>
          <w:sz w:val="24"/>
          <w:szCs w:val="24"/>
          <w:rtl w:val="0"/>
        </w:rPr>
        <w:br w:type="textWrapping"/>
        <w:t xml:space="preserve">B. </w:t>
      </w:r>
      <w:hyperlink w:anchor="t7q8v6i1tvry">
        <w:r w:rsidDel="00000000" w:rsidR="00000000" w:rsidRPr="00000000">
          <w:rPr>
            <w:color w:val="1155cc"/>
            <w:sz w:val="24"/>
            <w:szCs w:val="24"/>
            <w:u w:val="single"/>
            <w:rtl w:val="0"/>
          </w:rPr>
          <w:t xml:space="preserve">Global Maps of Important Environmental Variables that are measured by satellite (T, S, μ)</w:t>
        </w:r>
      </w:hyperlink>
      <w:r w:rsidDel="00000000" w:rsidR="00000000" w:rsidRPr="00000000">
        <w:rPr>
          <w:sz w:val="24"/>
          <w:szCs w:val="24"/>
          <w:rtl w:val="0"/>
        </w:rPr>
        <w:br w:type="textWrapping"/>
        <w:t xml:space="preserve">C. </w:t>
      </w:r>
      <w:hyperlink w:anchor="qiw5ud1qg3of">
        <w:r w:rsidDel="00000000" w:rsidR="00000000" w:rsidRPr="00000000">
          <w:rPr>
            <w:color w:val="1155cc"/>
            <w:sz w:val="24"/>
            <w:szCs w:val="24"/>
            <w:u w:val="single"/>
            <w:rtl w:val="0"/>
          </w:rPr>
          <w:t xml:space="preserve">Particle Size Distribution and Global Carbon Flux Estimates </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4"/>
          <w:szCs w:val="24"/>
          <w:u w:val="none"/>
        </w:rPr>
      </w:pPr>
      <w:hyperlink w:anchor="kjcan14xqtkx">
        <w:r w:rsidDel="00000000" w:rsidR="00000000" w:rsidRPr="00000000">
          <w:rPr>
            <w:color w:val="1155cc"/>
            <w:sz w:val="24"/>
            <w:szCs w:val="24"/>
            <w:u w:val="single"/>
            <w:rtl w:val="0"/>
          </w:rPr>
          <w:t xml:space="preserve">Comparisons Between Data</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z w:val="24"/>
          <w:szCs w:val="24"/>
          <w:u w:val="none"/>
        </w:rPr>
      </w:pPr>
      <w:hyperlink w:anchor="37rzvpk61e4t">
        <w:r w:rsidDel="00000000" w:rsidR="00000000" w:rsidRPr="00000000">
          <w:rPr>
            <w:color w:val="1155cc"/>
            <w:sz w:val="24"/>
            <w:szCs w:val="24"/>
            <w:u w:val="single"/>
            <w:rtl w:val="0"/>
          </w:rPr>
          <w:t xml:space="preserve">Discussion</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sz w:val="24"/>
          <w:szCs w:val="24"/>
          <w:u w:val="none"/>
        </w:rPr>
      </w:pPr>
      <w:hyperlink w:anchor="6r88flfd554k">
        <w:r w:rsidDel="00000000" w:rsidR="00000000" w:rsidRPr="00000000">
          <w:rPr>
            <w:color w:val="1155cc"/>
            <w:sz w:val="24"/>
            <w:szCs w:val="24"/>
            <w:u w:val="single"/>
            <w:rtl w:val="0"/>
          </w:rPr>
          <w:t xml:space="preserve">Citations</w:t>
        </w:r>
      </w:hyperlink>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bookmarkStart w:colFirst="0" w:colLast="0" w:name="kyy5gi7qupo" w:id="0"/>
    <w:bookmarkEnd w:id="0"/>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contextualSpacing w:val="0"/>
        <w:rPr>
          <w:color w:val="b7b7b7"/>
          <w:sz w:val="24"/>
          <w:szCs w:val="24"/>
        </w:rPr>
      </w:pPr>
      <w:r w:rsidDel="00000000" w:rsidR="00000000" w:rsidRPr="00000000">
        <w:rPr>
          <w:rtl w:val="0"/>
        </w:rPr>
      </w:r>
    </w:p>
    <w:p w:rsidR="00000000" w:rsidDel="00000000" w:rsidP="00000000" w:rsidRDefault="00000000" w:rsidRPr="00000000" w14:paraId="0000000C">
      <w:pPr>
        <w:ind w:firstLine="720"/>
        <w:contextualSpacing w:val="0"/>
        <w:rPr>
          <w:color w:val="222222"/>
          <w:sz w:val="24"/>
          <w:szCs w:val="24"/>
          <w:highlight w:val="white"/>
        </w:rPr>
      </w:pPr>
      <w:r w:rsidDel="00000000" w:rsidR="00000000" w:rsidRPr="00000000">
        <w:rPr>
          <w:color w:val="222222"/>
          <w:sz w:val="24"/>
          <w:szCs w:val="24"/>
          <w:highlight w:val="white"/>
          <w:rtl w:val="0"/>
        </w:rPr>
        <w:t xml:space="preserve">The ocean sequesters carbon in the deep ocean via the production and sinking of particulate organic carbon from the surface. Understanding the sequestration of carbon by organic matter flux requires accurate prediction of the size-dependent sinking speeds of organic particles. Particle sinking speeds can be calculated using Stokes’ Law, which predicts sinking speed based on particle radius and density. Additionally, an extended model is used here to predict the sinking speeds of diatoms by accounting for the additional frustle of the diatom. We estimate global export of particulate organic carbon from the euphotic zone by combining estimated particle sinking speed and a satellite product of marine particle abundance. Seawater viscosity is computed from satellite derived sea surface temperature and sea surface salinity. Validation against in-situ particle flux data is relatively weak, pointing to directions for possible improvement of the model.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bookmarkStart w:colFirst="0" w:colLast="0" w:name="dqo96q10zrvd" w:id="1"/>
    <w:bookmarkEnd w:id="1"/>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0">
      <w:pPr>
        <w:contextualSpacing w:val="0"/>
        <w:rPr>
          <w:b w:val="1"/>
          <w:sz w:val="24"/>
          <w:szCs w:val="24"/>
        </w:rPr>
      </w:pPr>
      <w:r w:rsidDel="00000000" w:rsidR="00000000" w:rsidRPr="00000000">
        <w:rPr>
          <w:rtl w:val="0"/>
        </w:rPr>
      </w:r>
    </w:p>
    <w:p w:rsidR="00000000" w:rsidDel="00000000" w:rsidP="00000000" w:rsidRDefault="00000000" w:rsidRPr="00000000" w14:paraId="00000011">
      <w:pPr>
        <w:ind w:firstLine="720"/>
        <w:contextualSpacing w:val="0"/>
        <w:rPr>
          <w:sz w:val="24"/>
          <w:szCs w:val="24"/>
        </w:rPr>
      </w:pPr>
      <w:r w:rsidDel="00000000" w:rsidR="00000000" w:rsidRPr="00000000">
        <w:rPr>
          <w:sz w:val="24"/>
          <w:szCs w:val="24"/>
          <w:rtl w:val="0"/>
        </w:rPr>
        <w:t xml:space="preserve">The ocean is important to study because it is a crucial part of the world’s CO</w:t>
      </w:r>
      <w:r w:rsidDel="00000000" w:rsidR="00000000" w:rsidRPr="00000000">
        <w:rPr>
          <w:sz w:val="24"/>
          <w:szCs w:val="24"/>
          <w:vertAlign w:val="subscript"/>
          <w:rtl w:val="0"/>
        </w:rPr>
        <w:t xml:space="preserve">2</w:t>
      </w:r>
      <w:r w:rsidDel="00000000" w:rsidR="00000000" w:rsidRPr="00000000">
        <w:rPr>
          <w:sz w:val="24"/>
          <w:szCs w:val="24"/>
          <w:rtl w:val="0"/>
        </w:rPr>
        <w:t xml:space="preserve"> cycle. </w:t>
      </w:r>
      <w:r w:rsidDel="00000000" w:rsidR="00000000" w:rsidRPr="00000000">
        <w:rPr>
          <w:sz w:val="24"/>
          <w:szCs w:val="24"/>
          <w:rtl w:val="0"/>
        </w:rPr>
        <w:t xml:space="preserve">The biological pump is a process where phytoplankton particles sink and remineralize out of the mixed layer to the deep ocean and serves as a key method for the sequestration of atmospheric carbon. Creating models to calculate and estimate different parts of the sequestration of carbon is key to understanding these processes. Traditionally, Stokes’ law has been used to explain how small phytoplankton particles sink out of the mixed layer. </w:t>
      </w:r>
    </w:p>
    <w:p w:rsidR="00000000" w:rsidDel="00000000" w:rsidP="00000000" w:rsidRDefault="00000000" w:rsidRPr="00000000" w14:paraId="00000012">
      <w:pPr>
        <w:ind w:firstLine="720"/>
        <w:contextualSpacing w:val="0"/>
        <w:rPr>
          <w:sz w:val="24"/>
          <w:szCs w:val="24"/>
        </w:rPr>
      </w:pPr>
      <w:r w:rsidDel="00000000" w:rsidR="00000000" w:rsidRPr="00000000">
        <w:rPr>
          <w:rtl w:val="0"/>
        </w:rPr>
      </w:r>
    </w:p>
    <w:p w:rsidR="00000000" w:rsidDel="00000000" w:rsidP="00000000" w:rsidRDefault="00000000" w:rsidRPr="00000000" w14:paraId="00000013">
      <w:pPr>
        <w:ind w:firstLine="720"/>
        <w:contextualSpacing w:val="0"/>
        <w:rPr>
          <w:sz w:val="24"/>
          <w:szCs w:val="24"/>
        </w:rPr>
      </w:pPr>
      <w:r w:rsidDel="00000000" w:rsidR="00000000" w:rsidRPr="00000000">
        <w:rPr>
          <w:sz w:val="24"/>
          <w:szCs w:val="24"/>
          <w:rtl w:val="0"/>
        </w:rPr>
        <w:t xml:space="preserve">Estimating carbon export within the ocean is difficult, with studies predicting a large range of 5 to 12 Pg C/year exported from the euphotic zone (Siegel et al 2014). Creating new methods to measure and estimate the export of carbon is an important way to decrease the uncertainty in the carbon export estimate. Furthermore, current ways of making measurements such as sediment trap data of phytoplankton sinking speeds is sparse in space and time. Satellite data offers superior spatial and temporal coverage, which motivates the creation of models that can estimate carbon export from satellite data. Satellite data has also recently been used to estimate the distribution of different particle size classes of phytoplankton in the ocean from backscattering (Kostadinov et al 2009), which is used to create an estimate of global carbon export.</w:t>
      </w:r>
    </w:p>
    <w:p w:rsidR="00000000" w:rsidDel="00000000" w:rsidP="00000000" w:rsidRDefault="00000000" w:rsidRPr="00000000" w14:paraId="00000014">
      <w:pPr>
        <w:ind w:firstLine="720"/>
        <w:contextualSpacing w:val="0"/>
        <w:rPr>
          <w:sz w:val="24"/>
          <w:szCs w:val="24"/>
        </w:rPr>
      </w:pPr>
      <w:r w:rsidDel="00000000" w:rsidR="00000000" w:rsidRPr="00000000">
        <w:rPr>
          <w:rtl w:val="0"/>
        </w:rPr>
      </w:r>
    </w:p>
    <w:p w:rsidR="00000000" w:rsidDel="00000000" w:rsidP="00000000" w:rsidRDefault="00000000" w:rsidRPr="00000000" w14:paraId="00000015">
      <w:pPr>
        <w:ind w:firstLine="720"/>
        <w:contextualSpacing w:val="0"/>
        <w:rPr>
          <w:sz w:val="24"/>
          <w:szCs w:val="24"/>
        </w:rPr>
      </w:pPr>
      <w:r w:rsidDel="00000000" w:rsidR="00000000" w:rsidRPr="00000000">
        <w:rPr>
          <w:sz w:val="24"/>
          <w:szCs w:val="24"/>
          <w:rtl w:val="0"/>
        </w:rPr>
        <w:t xml:space="preserve">In this paper we introduce Stokes Law and an extended model (Miklasz and Denny, 2010). We discuss how the effect of salinity and temperature affect the viscosity of seawater, then include the effects into the model. Phytoplankton are organized in size classes and percentages of the total biomass that each size class contributes. A complete estimate is generated from the satellite products and compared to observed data.</w:t>
      </w:r>
    </w:p>
    <w:p w:rsidR="00000000" w:rsidDel="00000000" w:rsidP="00000000" w:rsidRDefault="00000000" w:rsidRPr="00000000" w14:paraId="00000016">
      <w:pPr>
        <w:contextualSpacing w:val="0"/>
        <w:rPr>
          <w:b w:val="1"/>
          <w:sz w:val="24"/>
          <w:szCs w:val="24"/>
        </w:rPr>
      </w:pPr>
      <w:r w:rsidDel="00000000" w:rsidR="00000000" w:rsidRPr="00000000">
        <w:rPr>
          <w:rtl w:val="0"/>
        </w:rPr>
      </w:r>
    </w:p>
    <w:bookmarkStart w:colFirst="0" w:colLast="0" w:name="jrslitwa3jx9" w:id="2"/>
    <w:bookmarkEnd w:id="2"/>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Stokes Law and Predicting Sinking Speeds</w:t>
      </w:r>
    </w:p>
    <w:p w:rsidR="00000000" w:rsidDel="00000000" w:rsidP="00000000" w:rsidRDefault="00000000" w:rsidRPr="00000000" w14:paraId="00000018">
      <w:pPr>
        <w:contextualSpacing w:val="0"/>
        <w:rPr>
          <w:b w:val="1"/>
          <w:sz w:val="24"/>
          <w:szCs w:val="24"/>
        </w:rPr>
      </w:pPr>
      <w:r w:rsidDel="00000000" w:rsidR="00000000" w:rsidRPr="00000000">
        <w:rPr>
          <w:rtl w:val="0"/>
        </w:rPr>
      </w:r>
    </w:p>
    <w:p w:rsidR="00000000" w:rsidDel="00000000" w:rsidP="00000000" w:rsidRDefault="00000000" w:rsidRPr="00000000" w14:paraId="00000019">
      <w:pPr>
        <w:ind w:firstLine="720"/>
        <w:contextualSpacing w:val="0"/>
        <w:rPr>
          <w:b w:val="1"/>
          <w:sz w:val="24"/>
          <w:szCs w:val="24"/>
        </w:rPr>
      </w:pPr>
      <w:r w:rsidDel="00000000" w:rsidR="00000000" w:rsidRPr="00000000">
        <w:rPr>
          <w:b w:val="1"/>
          <w:sz w:val="24"/>
          <w:szCs w:val="24"/>
          <w:rtl w:val="0"/>
        </w:rPr>
        <w:t xml:space="preserve">A</w:t>
      </w:r>
      <w:bookmarkStart w:colFirst="0" w:colLast="0" w:name="kix.7ieeqfjwgx5m" w:id="3"/>
      <w:bookmarkEnd w:id="3"/>
      <w:r w:rsidDel="00000000" w:rsidR="00000000" w:rsidRPr="00000000">
        <w:rPr>
          <w:b w:val="1"/>
          <w:sz w:val="24"/>
          <w:szCs w:val="24"/>
          <w:rtl w:val="0"/>
        </w:rPr>
        <w:t xml:space="preserve">.  Particle Size and Sinking Speed</w:t>
      </w:r>
    </w:p>
    <w:p w:rsidR="00000000" w:rsidDel="00000000" w:rsidP="00000000" w:rsidRDefault="00000000" w:rsidRPr="00000000" w14:paraId="0000001A">
      <w:pPr>
        <w:ind w:firstLine="720"/>
        <w:contextualSpacing w:val="0"/>
        <w:rPr>
          <w:b w:val="1"/>
          <w:sz w:val="24"/>
          <w:szCs w:val="24"/>
        </w:rPr>
      </w:pPr>
      <w:r w:rsidDel="00000000" w:rsidR="00000000" w:rsidRPr="00000000">
        <w:rPr>
          <w:b w:val="1"/>
          <w:sz w:val="24"/>
          <w:szCs w:val="24"/>
          <w:rtl w:val="0"/>
        </w:rPr>
        <w:br w:type="textWrapping"/>
        <w:tab/>
        <w:tab/>
        <w:t xml:space="preserve">i. Basic Stokes Law</w:t>
      </w:r>
    </w:p>
    <w:p w:rsidR="00000000" w:rsidDel="00000000" w:rsidP="00000000" w:rsidRDefault="00000000" w:rsidRPr="00000000" w14:paraId="0000001B">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1C">
      <w:pPr>
        <w:ind w:firstLine="720"/>
        <w:contextualSpacing w:val="0"/>
        <w:rPr>
          <w:sz w:val="24"/>
          <w:szCs w:val="24"/>
        </w:rPr>
      </w:pPr>
      <w:r w:rsidDel="00000000" w:rsidR="00000000" w:rsidRPr="00000000">
        <w:rPr>
          <w:sz w:val="24"/>
          <w:szCs w:val="24"/>
          <w:rtl w:val="0"/>
        </w:rPr>
        <w:t xml:space="preserve">Sinking speeds of phytoplankton are often estimated by Stokes’ law, which predicts sinking velocities that scales as the square of the radius. Sinking plankton particles satisfy the prerequisites of Stokes’ Law, as they are small particles that move slowly in relation to its outside medium. Phytoplankton particles are roughly approximated as spherical to adhere to Stokes’ Law. Phytoplankton, however come in many different shapes.</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t xml:space="preserve">The classic stokes model predicts that a sinking particle’s speed (U) is:</w:t>
      </w:r>
    </w:p>
    <w:p w:rsidR="00000000" w:rsidDel="00000000" w:rsidP="00000000" w:rsidRDefault="00000000" w:rsidRPr="00000000" w14:paraId="0000001F">
      <w:pPr>
        <w:contextualSpacing w:val="0"/>
        <w:jc w:val="center"/>
        <w:rPr>
          <w:sz w:val="24"/>
          <w:szCs w:val="24"/>
        </w:rPr>
      </w:pPr>
      <w:r w:rsidDel="00000000" w:rsidR="00000000" w:rsidRPr="00000000">
        <w:rPr>
          <w:sz w:val="24"/>
          <w:szCs w:val="24"/>
        </w:rPr>
        <w:drawing>
          <wp:inline distB="114300" distT="114300" distL="114300" distR="114300">
            <wp:extent cx="2019300" cy="838200"/>
            <wp:effectExtent b="0" l="0" r="0" t="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019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Where ρ</w:t>
      </w:r>
      <w:r w:rsidDel="00000000" w:rsidR="00000000" w:rsidRPr="00000000">
        <w:rPr>
          <w:sz w:val="24"/>
          <w:szCs w:val="24"/>
          <w:vertAlign w:val="subscript"/>
          <w:rtl w:val="0"/>
        </w:rPr>
        <w:t xml:space="preserve">tot</w:t>
      </w:r>
      <w:r w:rsidDel="00000000" w:rsidR="00000000" w:rsidRPr="00000000">
        <w:rPr>
          <w:sz w:val="24"/>
          <w:szCs w:val="24"/>
          <w:rtl w:val="0"/>
        </w:rPr>
        <w:t xml:space="preserve"> is the density of the particle, ρ</w:t>
      </w:r>
      <w:r w:rsidDel="00000000" w:rsidR="00000000" w:rsidRPr="00000000">
        <w:rPr>
          <w:sz w:val="24"/>
          <w:szCs w:val="24"/>
          <w:vertAlign w:val="subscript"/>
          <w:rtl w:val="0"/>
        </w:rPr>
        <w:t xml:space="preserve">w</w:t>
      </w:r>
      <w:r w:rsidDel="00000000" w:rsidR="00000000" w:rsidRPr="00000000">
        <w:rPr>
          <w:sz w:val="24"/>
          <w:szCs w:val="24"/>
          <w:rtl w:val="0"/>
        </w:rPr>
        <w:t xml:space="preserve"> is the density of the surrounding liquid (in this case seawater), r is the radius of the particle, g is the constant of gravitational acceleration (9.8 m s</w:t>
      </w:r>
      <w:r w:rsidDel="00000000" w:rsidR="00000000" w:rsidRPr="00000000">
        <w:rPr>
          <w:sz w:val="24"/>
          <w:szCs w:val="24"/>
          <w:vertAlign w:val="superscript"/>
          <w:rtl w:val="0"/>
        </w:rPr>
        <w:t xml:space="preserve">-2</w:t>
      </w:r>
      <w:r w:rsidDel="00000000" w:rsidR="00000000" w:rsidRPr="00000000">
        <w:rPr>
          <w:sz w:val="24"/>
          <w:szCs w:val="24"/>
          <w:rtl w:val="0"/>
        </w:rPr>
        <w:t xml:space="preserve">), and μ is the dynamic viscosity of surrounding seawater.The model presented by Miklasz and Denny (2010) assumes constants of ρ</w:t>
      </w:r>
      <w:r w:rsidDel="00000000" w:rsidR="00000000" w:rsidRPr="00000000">
        <w:rPr>
          <w:sz w:val="24"/>
          <w:szCs w:val="24"/>
          <w:vertAlign w:val="subscript"/>
          <w:rtl w:val="0"/>
        </w:rPr>
        <w:t xml:space="preserve">w</w:t>
      </w:r>
      <w:r w:rsidDel="00000000" w:rsidR="00000000" w:rsidRPr="00000000">
        <w:rPr>
          <w:sz w:val="24"/>
          <w:szCs w:val="24"/>
          <w:rtl w:val="0"/>
        </w:rPr>
        <w:t xml:space="preserve"> = </w:t>
      </w:r>
      <w:r w:rsidDel="00000000" w:rsidR="00000000" w:rsidRPr="00000000">
        <w:rPr>
          <w:sz w:val="24"/>
          <w:szCs w:val="24"/>
          <w:rtl w:val="0"/>
        </w:rPr>
        <w:t xml:space="preserve">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and μ = 1.07 x 10</w:t>
      </w:r>
      <w:r w:rsidDel="00000000" w:rsidR="00000000" w:rsidRPr="00000000">
        <w:rPr>
          <w:sz w:val="24"/>
          <w:szCs w:val="24"/>
          <w:vertAlign w:val="superscript"/>
          <w:rtl w:val="0"/>
        </w:rPr>
        <w:t xml:space="preserve">-3</w:t>
      </w:r>
      <w:r w:rsidDel="00000000" w:rsidR="00000000" w:rsidRPr="00000000">
        <w:rPr>
          <w:sz w:val="24"/>
          <w:szCs w:val="24"/>
          <w:rtl w:val="0"/>
        </w:rPr>
        <w:t xml:space="preserve"> Pa s, which represents the density and dynamic viscosity of seawater at 20°C and 33 g L</w:t>
      </w:r>
      <w:r w:rsidDel="00000000" w:rsidR="00000000" w:rsidRPr="00000000">
        <w:rPr>
          <w:sz w:val="24"/>
          <w:szCs w:val="24"/>
          <w:vertAlign w:val="superscript"/>
          <w:rtl w:val="0"/>
        </w:rPr>
        <w:t xml:space="preserve">-1</w:t>
      </w:r>
      <w:r w:rsidDel="00000000" w:rsidR="00000000" w:rsidRPr="00000000">
        <w:rPr>
          <w:sz w:val="24"/>
          <w:szCs w:val="24"/>
          <w:rtl w:val="0"/>
        </w:rPr>
        <w:t xml:space="preserve"> salinity, respectively. Stokes’ law holds up for particles with small Reynolds numbers (Re &lt; 1), which describes all particles mentioned in this paper. Since both dynamic viscosity and seawater’s density varies with temperature and salinity, it is important to consider both variables within our calculation. However, because the range at which seawater’s density varies with respect to temperature and salinity differences is so small, we can safely assume seawater to have a constant density of ρ</w:t>
      </w:r>
      <w:r w:rsidDel="00000000" w:rsidR="00000000" w:rsidRPr="00000000">
        <w:rPr>
          <w:sz w:val="24"/>
          <w:szCs w:val="24"/>
          <w:vertAlign w:val="subscript"/>
          <w:rtl w:val="0"/>
        </w:rPr>
        <w:t xml:space="preserve">w</w:t>
      </w:r>
      <w:r w:rsidDel="00000000" w:rsidR="00000000" w:rsidRPr="00000000">
        <w:rPr>
          <w:rFonts w:ascii="Arial Unicode MS" w:cs="Arial Unicode MS" w:eastAsia="Arial Unicode MS" w:hAnsi="Arial Unicode MS"/>
          <w:sz w:val="24"/>
          <w:szCs w:val="24"/>
          <w:rtl w:val="0"/>
        </w:rPr>
        <w:t xml:space="preserve"> ≈ 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Since dynamic viscosity is a large factor in this equation (Fig. 1)</w:t>
      </w:r>
      <w:r w:rsidDel="00000000" w:rsidR="00000000" w:rsidRPr="00000000">
        <w:rPr>
          <w:sz w:val="24"/>
          <w:szCs w:val="24"/>
          <w:rtl w:val="0"/>
        </w:rPr>
        <w:t xml:space="preserve">,</w:t>
      </w:r>
      <w:r w:rsidDel="00000000" w:rsidR="00000000" w:rsidRPr="00000000">
        <w:rPr>
          <w:sz w:val="24"/>
          <w:szCs w:val="24"/>
          <w:rtl w:val="0"/>
        </w:rPr>
        <w:t xml:space="preserve"> we include the variation of dynamic viscosity within our calculation. Dynamic viscosity (μ</w:t>
      </w:r>
      <w:r w:rsidDel="00000000" w:rsidR="00000000" w:rsidRPr="00000000">
        <w:rPr>
          <w:sz w:val="20"/>
          <w:szCs w:val="20"/>
          <w:rtl w:val="0"/>
        </w:rPr>
        <w:t xml:space="preserve">)</w:t>
      </w:r>
      <w:r w:rsidDel="00000000" w:rsidR="00000000" w:rsidRPr="00000000">
        <w:rPr>
          <w:sz w:val="24"/>
          <w:szCs w:val="24"/>
          <w:rtl w:val="0"/>
        </w:rPr>
        <w:t xml:space="preserve"> is a key variable in Stokes Law that is often overlooked in studies calculating particle sinking speed in seawater (Nayar et al 2016). Miklasz and Denny (2010) assume that dynamic viscosity remains constant. Dynamic viscosity depends on temperature and salinity, and is dominated by the effects of the former (Fig. 1). The effect of dynamic viscosity is very apparent over the relevant temperature range, with a 63% decrease in predicted sinking speed between temperatures T = 0 and T = 40. (Fig 2). In order to calculate the change in dynamic viscosity, we use a seawater toolbox that estimates dynamic viscosity of seawater given temperature and salinity (Sharqawy et al 2010). Using this basic Stokes’ law model, sinking speed ( “U” ) is estimated for particles with small, medium, and large radii, with values of 5 μm, 10 μm, and 20 μm, respectively (Fig. 3). The sinking velocity of each particle increases by an exponent of 2, which nonlinearly increases the sinking speed of larger particles.  </w:t>
      </w:r>
    </w:p>
    <w:p w:rsidR="00000000" w:rsidDel="00000000" w:rsidP="00000000" w:rsidRDefault="00000000" w:rsidRPr="00000000" w14:paraId="00000021">
      <w:pPr>
        <w:contextualSpacing w:val="0"/>
        <w:rPr>
          <w:b w:val="1"/>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Pr>
        <w:drawing>
          <wp:inline distB="114300" distT="114300" distL="114300" distR="114300">
            <wp:extent cx="5943600" cy="2924175"/>
            <wp:effectExtent b="0" l="0" r="0" t="0"/>
            <wp:docPr id="10" name="image23.png"/>
            <a:graphic>
              <a:graphicData uri="http://schemas.openxmlformats.org/drawingml/2006/picture">
                <pic:pic>
                  <pic:nvPicPr>
                    <pic:cNvPr id="0" name="image23.png"/>
                    <pic:cNvPicPr preferRelativeResize="0"/>
                  </pic:nvPicPr>
                  <pic:blipFill>
                    <a:blip r:embed="rId7"/>
                    <a:srcRect b="18997" l="0" r="0" t="1691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Variation in Dynamic Viscosity of Seawater (μ). Viscosity is plotted against temperature, while holding salinity constant at 35 kg m</w:t>
      </w:r>
      <w:r w:rsidDel="00000000" w:rsidR="00000000" w:rsidRPr="00000000">
        <w:rPr>
          <w:sz w:val="20"/>
          <w:szCs w:val="20"/>
          <w:vertAlign w:val="superscript"/>
          <w:rtl w:val="0"/>
        </w:rPr>
        <w:t xml:space="preserve">-3</w:t>
      </w:r>
      <w:r w:rsidDel="00000000" w:rsidR="00000000" w:rsidRPr="00000000">
        <w:rPr>
          <w:sz w:val="20"/>
          <w:szCs w:val="20"/>
          <w:rtl w:val="0"/>
        </w:rPr>
        <w:t xml:space="preserve"> (left). Viscosity is also plotted against salinity, while holding temperature constant at 20</w:t>
      </w:r>
      <w:r w:rsidDel="00000000" w:rsidR="00000000" w:rsidRPr="00000000">
        <w:rPr>
          <w:sz w:val="20"/>
          <w:szCs w:val="20"/>
          <w:vertAlign w:val="superscript"/>
          <w:rtl w:val="0"/>
        </w:rPr>
        <w:t xml:space="preserve">o</w:t>
      </w:r>
      <w:r w:rsidDel="00000000" w:rsidR="00000000" w:rsidRPr="00000000">
        <w:rPr>
          <w:sz w:val="20"/>
          <w:szCs w:val="20"/>
          <w:rtl w:val="0"/>
        </w:rPr>
        <w:t xml:space="preserve">C (right). Over the normal range of each variable, the change in viscosity is dominated by the effect of Temperature.</w:t>
      </w:r>
    </w:p>
    <w:p w:rsidR="00000000" w:rsidDel="00000000" w:rsidP="00000000" w:rsidRDefault="00000000" w:rsidRPr="00000000" w14:paraId="00000024">
      <w:pPr>
        <w:contextualSpacing w:val="0"/>
        <w:rPr>
          <w:b w:val="1"/>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Pr>
        <w:drawing>
          <wp:inline distB="114300" distT="114300" distL="114300" distR="114300">
            <wp:extent cx="5943600" cy="50292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b w:val="1"/>
          <w:sz w:val="20"/>
          <w:szCs w:val="20"/>
          <w:rtl w:val="0"/>
        </w:rPr>
        <w:t xml:space="preserve">Figure 2:</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0"/>
          <w:szCs w:val="20"/>
          <w:rtl w:val="0"/>
        </w:rPr>
        <w:t xml:space="preserve">The hypothetical sinking speed (“U”) of two cells with identical structure, calculated with and without dynamic viscosity.  The solid line (“With Dynamic Viscosity) represents a model that uses the effect of temperature as it increases from 0°C to 35°C. The dashed line (“Without Dynamic Viscosity”) represents a sinking cell modeled without the effect of dynamic viscosity The cell is plotted where r = 10 μm and has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p>
    <w:p w:rsidR="00000000" w:rsidDel="00000000" w:rsidP="00000000" w:rsidRDefault="00000000" w:rsidRPr="00000000" w14:paraId="00000028">
      <w:pPr>
        <w:contextualSpacing w:val="0"/>
        <w:rPr>
          <w:sz w:val="20"/>
          <w:szCs w:val="20"/>
        </w:rPr>
      </w:pP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Pr>
        <w:drawing>
          <wp:inline distB="114300" distT="114300" distL="114300" distR="114300">
            <wp:extent cx="5943600" cy="4724400"/>
            <wp:effectExtent b="0" l="0" r="0" t="0"/>
            <wp:docPr id="1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Sinking speed (U) in meters per day, calculated by Stokes’ Law. Hypothetical radius values of r = 5 μm (dashed), r = 10 μm (solid), and r = 20 μm (dot / dash) are displayed.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≤35</w:t>
      </w:r>
      <w:r w:rsidDel="00000000" w:rsidR="00000000" w:rsidRPr="00000000">
        <w:rPr>
          <w:sz w:val="20"/>
          <w:szCs w:val="20"/>
          <w:vertAlign w:val="superscript"/>
          <w:rtl w:val="0"/>
        </w:rPr>
        <w:t xml:space="preserve">o</w:t>
      </w:r>
      <w:r w:rsidDel="00000000" w:rsidR="00000000" w:rsidRPr="00000000">
        <w:rPr>
          <w:sz w:val="20"/>
          <w:szCs w:val="20"/>
          <w:rtl w:val="0"/>
        </w:rPr>
        <w:t xml:space="preserve">C, Salinity S = 35 ppt</w:t>
      </w:r>
      <w:r w:rsidDel="00000000" w:rsidR="00000000" w:rsidRPr="00000000">
        <w:rPr>
          <w:rFonts w:ascii="Arial Unicode MS" w:cs="Arial Unicode MS" w:eastAsia="Arial Unicode MS" w:hAnsi="Arial Unicode MS"/>
          <w:sz w:val="20"/>
          <w:szCs w:val="20"/>
          <w:rtl w:val="0"/>
        </w:rPr>
        <w:t xml:space="preserve">, total cell density ⍴</w:t>
      </w:r>
      <w:r w:rsidDel="00000000" w:rsidR="00000000" w:rsidRPr="00000000">
        <w:rPr>
          <w:sz w:val="20"/>
          <w:szCs w:val="20"/>
          <w:vertAlign w:val="subscript"/>
          <w:rtl w:val="0"/>
        </w:rPr>
        <w:t xml:space="preserve">tot</w:t>
      </w:r>
      <w:r w:rsidDel="00000000" w:rsidR="00000000" w:rsidRPr="00000000">
        <w:rPr>
          <w:sz w:val="20"/>
          <w:szCs w:val="20"/>
          <w:rtl w:val="0"/>
        </w:rPr>
        <w:t xml:space="preserve"> =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ind w:left="720" w:firstLine="720"/>
        <w:contextualSpacing w:val="0"/>
        <w:rPr>
          <w:b w:val="1"/>
          <w:sz w:val="24"/>
          <w:szCs w:val="24"/>
        </w:rPr>
      </w:pPr>
      <w:r w:rsidDel="00000000" w:rsidR="00000000" w:rsidRPr="00000000">
        <w:rPr>
          <w:b w:val="1"/>
          <w:sz w:val="24"/>
          <w:szCs w:val="24"/>
          <w:rtl w:val="0"/>
        </w:rPr>
        <w:t xml:space="preserve">ii. Extended Stokes Model</w:t>
      </w:r>
    </w:p>
    <w:p w:rsidR="00000000" w:rsidDel="00000000" w:rsidP="00000000" w:rsidRDefault="00000000" w:rsidRPr="00000000" w14:paraId="0000002F">
      <w:pPr>
        <w:ind w:left="0" w:firstLine="720"/>
        <w:contextualSpacing w:val="0"/>
        <w:rPr>
          <w:sz w:val="24"/>
          <w:szCs w:val="24"/>
        </w:rPr>
      </w:pPr>
      <w:r w:rsidDel="00000000" w:rsidR="00000000" w:rsidRPr="00000000">
        <w:rPr>
          <w:sz w:val="24"/>
          <w:szCs w:val="24"/>
          <w:rtl w:val="0"/>
        </w:rPr>
        <w:t xml:space="preserve">Stokes Law is defined for a spherical particle with uniform density, which does not perfectly describe a diatom’s structure.  Using a newer model predicts that diatoms, which synthesize approximately half of the ocean’s fixed carbon (Nelson et al 1995; Field et al 1998, cited within Miklasz et al 2010), may follow a more complex extended Stokes Law that accounts for the differing densities of diatomic components (Miklasz and Denny 2010). A diatom may have a hard, dense silicate frustle as well as a less dense cytoplasmic core. Diatomic frustles may constitute up to 70% silica, which is much denser than seawater (2500 kg m</w:t>
      </w:r>
      <w:r w:rsidDel="00000000" w:rsidR="00000000" w:rsidRPr="00000000">
        <w:rPr>
          <w:sz w:val="24"/>
          <w:szCs w:val="24"/>
          <w:vertAlign w:val="superscript"/>
          <w:rtl w:val="0"/>
        </w:rPr>
        <w:t xml:space="preserve">-3</w:t>
      </w:r>
      <w:r w:rsidDel="00000000" w:rsidR="00000000" w:rsidRPr="00000000">
        <w:rPr>
          <w:sz w:val="24"/>
          <w:szCs w:val="24"/>
          <w:rtl w:val="0"/>
        </w:rPr>
        <w:t xml:space="preserve">). The cytoplasm is less directly studied, with no direct measurement (Sicko-Goad et al 1970). The density of cytoplasm is said to be in the range of 1030 to 1100 kg m</w:t>
      </w:r>
      <w:r w:rsidDel="00000000" w:rsidR="00000000" w:rsidRPr="00000000">
        <w:rPr>
          <w:sz w:val="24"/>
          <w:szCs w:val="24"/>
          <w:vertAlign w:val="superscript"/>
          <w:rtl w:val="0"/>
        </w:rPr>
        <w:t xml:space="preserve">-3</w:t>
      </w:r>
      <w:r w:rsidDel="00000000" w:rsidR="00000000" w:rsidRPr="00000000">
        <w:rPr>
          <w:sz w:val="24"/>
          <w:szCs w:val="24"/>
          <w:rtl w:val="0"/>
        </w:rPr>
        <w:t xml:space="preserve"> (Smayda 1970). Diatoms constitute mostly cytoplasm, with the frustle thickness usually contributing less than half of the diatom’s radius (Sicko-Goad, 1970). Because of this, the diatom’s sinking speed is usually overestimated by the normal Stokes’ equation. The proposed extended Stokes’ theorem (Miklasz and Denny, 2010) assumes a spherical shape and accounts for diatom radius and frustle thickness to produce an estimate of sinking speed that more accurately reflects the density of the entire cell. For a diatom with a cell radius r = 10 μm, the basic model predicts a sinking speed of 13.66 m d</w:t>
      </w:r>
      <w:r w:rsidDel="00000000" w:rsidR="00000000" w:rsidRPr="00000000">
        <w:rPr>
          <w:sz w:val="24"/>
          <w:szCs w:val="24"/>
          <w:vertAlign w:val="superscript"/>
          <w:rtl w:val="0"/>
        </w:rPr>
        <w:t xml:space="preserve">-1</w:t>
      </w:r>
      <w:r w:rsidDel="00000000" w:rsidR="00000000" w:rsidRPr="00000000">
        <w:rPr>
          <w:sz w:val="24"/>
          <w:szCs w:val="24"/>
          <w:rtl w:val="0"/>
        </w:rPr>
        <w:t xml:space="preserve">, while the extended model predicts a sinking speed of 5.16 m d</w:t>
      </w:r>
      <w:r w:rsidDel="00000000" w:rsidR="00000000" w:rsidRPr="00000000">
        <w:rPr>
          <w:sz w:val="24"/>
          <w:szCs w:val="24"/>
          <w:vertAlign w:val="superscript"/>
          <w:rtl w:val="0"/>
        </w:rPr>
        <w:t xml:space="preserve">-1</w:t>
      </w:r>
      <w:r w:rsidDel="00000000" w:rsidR="00000000" w:rsidRPr="00000000">
        <w:rPr>
          <w:sz w:val="24"/>
          <w:szCs w:val="24"/>
          <w:rtl w:val="0"/>
        </w:rPr>
        <w:t xml:space="preserve">, using a frustle thickness of 1 μm; neither of the estimates account for dynamic viscosity (Fig. 4). Additionally, Figure 4 displays the difference in both models when dynamic viscosity changes between temperatures of 0℃ and 35℃. The lower density of the cytoplasm causes the estimated sinking speed for the extended model to be approximately 60% lower when dynamic viscosity is held constant. Figure 5 displays sinking speed estimates of diatoms with different cytoplasmic and frustle densities, with radii r = 10 μm and frustle thickness 1 μm. </w:t>
      </w:r>
    </w:p>
    <w:p w:rsidR="00000000" w:rsidDel="00000000" w:rsidP="00000000" w:rsidRDefault="00000000" w:rsidRPr="00000000" w14:paraId="00000030">
      <w:pPr>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center"/>
        <w:rPr>
          <w:sz w:val="24"/>
          <w:szCs w:val="24"/>
        </w:rPr>
      </w:pPr>
      <w:r w:rsidDel="00000000" w:rsidR="00000000" w:rsidRPr="00000000">
        <w:rPr>
          <w:sz w:val="24"/>
          <w:szCs w:val="24"/>
        </w:rPr>
        <w:drawing>
          <wp:inline distB="114300" distT="114300" distL="114300" distR="114300">
            <wp:extent cx="5233988" cy="780065"/>
            <wp:effectExtent b="0" l="0" r="0" t="0"/>
            <wp:docPr id="1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233988" cy="78006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contextualSpacing w:val="0"/>
        <w:rPr>
          <w:sz w:val="20"/>
          <w:szCs w:val="20"/>
        </w:rPr>
      </w:pPr>
      <w:r w:rsidDel="00000000" w:rsidR="00000000" w:rsidRPr="00000000">
        <w:rPr>
          <w:sz w:val="20"/>
          <w:szCs w:val="20"/>
          <w:rtl w:val="0"/>
        </w:rPr>
        <w:t xml:space="preserve">Equation 2: The Extended Stokes’ Model. </w:t>
      </w:r>
      <w:r w:rsidDel="00000000" w:rsidR="00000000" w:rsidRPr="00000000">
        <w:rPr>
          <w:sz w:val="20"/>
          <w:szCs w:val="20"/>
          <w:rtl w:val="0"/>
        </w:rPr>
        <w:t xml:space="preserve">ρ</w:t>
      </w:r>
      <w:r w:rsidDel="00000000" w:rsidR="00000000" w:rsidRPr="00000000">
        <w:rPr>
          <w:sz w:val="20"/>
          <w:szCs w:val="20"/>
          <w:vertAlign w:val="subscript"/>
          <w:rtl w:val="0"/>
        </w:rPr>
        <w:t xml:space="preserve">cyt</w:t>
      </w:r>
      <w:r w:rsidDel="00000000" w:rsidR="00000000" w:rsidRPr="00000000">
        <w:rPr>
          <w:sz w:val="20"/>
          <w:szCs w:val="20"/>
          <w:rtl w:val="0"/>
        </w:rPr>
        <w:t xml:space="preserve"> represents the density of the cytoplasm, ρ</w:t>
      </w:r>
      <w:r w:rsidDel="00000000" w:rsidR="00000000" w:rsidRPr="00000000">
        <w:rPr>
          <w:sz w:val="20"/>
          <w:szCs w:val="20"/>
          <w:vertAlign w:val="subscript"/>
          <w:rtl w:val="0"/>
        </w:rPr>
        <w:t xml:space="preserve">fr</w:t>
      </w:r>
      <w:r w:rsidDel="00000000" w:rsidR="00000000" w:rsidRPr="00000000">
        <w:rPr>
          <w:sz w:val="20"/>
          <w:szCs w:val="20"/>
          <w:rtl w:val="0"/>
        </w:rPr>
        <w:t xml:space="preserve"> represents the density of the frustle, ρ</w:t>
      </w:r>
      <w:r w:rsidDel="00000000" w:rsidR="00000000" w:rsidRPr="00000000">
        <w:rPr>
          <w:sz w:val="20"/>
          <w:szCs w:val="20"/>
          <w:vertAlign w:val="subscript"/>
          <w:rtl w:val="0"/>
        </w:rPr>
        <w:t xml:space="preserve">w </w:t>
      </w:r>
      <w:r w:rsidDel="00000000" w:rsidR="00000000" w:rsidRPr="00000000">
        <w:rPr>
          <w:sz w:val="20"/>
          <w:szCs w:val="20"/>
          <w:rtl w:val="0"/>
        </w:rPr>
        <w:t xml:space="preserve">represents the density of water, r is the radius of the diatom, t is the thickness of the diatom’s frustle, g = 9.8 m s</w:t>
      </w:r>
      <w:r w:rsidDel="00000000" w:rsidR="00000000" w:rsidRPr="00000000">
        <w:rPr>
          <w:sz w:val="20"/>
          <w:szCs w:val="20"/>
          <w:vertAlign w:val="superscript"/>
          <w:rtl w:val="0"/>
        </w:rPr>
        <w:t xml:space="preserve">-2</w:t>
      </w:r>
      <w:r w:rsidDel="00000000" w:rsidR="00000000" w:rsidRPr="00000000">
        <w:rPr>
          <w:sz w:val="20"/>
          <w:szCs w:val="20"/>
          <w:rtl w:val="0"/>
        </w:rPr>
        <w:t xml:space="preserve">, the gravitational constant, and μ is the dynamic viscosity of seawater. </w:t>
      </w:r>
    </w:p>
    <w:p w:rsidR="00000000" w:rsidDel="00000000" w:rsidP="00000000" w:rsidRDefault="00000000" w:rsidRPr="00000000" w14:paraId="00000033">
      <w:pPr>
        <w:ind w:left="0" w:firstLine="0"/>
        <w:contextualSpacing w:val="0"/>
        <w:rPr>
          <w:sz w:val="20"/>
          <w:szCs w:val="20"/>
        </w:rPr>
      </w:pPr>
      <w:r w:rsidDel="00000000" w:rsidR="00000000" w:rsidRPr="00000000">
        <w:rPr>
          <w:rtl w:val="0"/>
        </w:rPr>
      </w:r>
    </w:p>
    <w:p w:rsidR="00000000" w:rsidDel="00000000" w:rsidP="00000000" w:rsidRDefault="00000000" w:rsidRPr="00000000" w14:paraId="00000034">
      <w:pPr>
        <w:ind w:left="0" w:firstLine="0"/>
        <w:contextualSpacing w:val="0"/>
        <w:rPr>
          <w:sz w:val="20"/>
          <w:szCs w:val="20"/>
        </w:rPr>
      </w:pPr>
      <w:r w:rsidDel="00000000" w:rsidR="00000000" w:rsidRPr="00000000">
        <w:rPr>
          <w:rtl w:val="0"/>
        </w:rPr>
      </w:r>
    </w:p>
    <w:p w:rsidR="00000000" w:rsidDel="00000000" w:rsidP="00000000" w:rsidRDefault="00000000" w:rsidRPr="00000000" w14:paraId="00000035">
      <w:pPr>
        <w:ind w:left="0" w:firstLine="0"/>
        <w:contextualSpacing w:val="0"/>
        <w:rPr>
          <w:sz w:val="24"/>
          <w:szCs w:val="24"/>
        </w:rPr>
      </w:pPr>
      <w:r w:rsidDel="00000000" w:rsidR="00000000" w:rsidRPr="00000000">
        <w:rPr>
          <w:sz w:val="24"/>
          <w:szCs w:val="24"/>
          <w:rtl w:val="0"/>
        </w:rPr>
        <w:t xml:space="preserve">Table 1 represents typical ranges of values for diatoms (Kostadinov et al 2009). </w:t>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Pr>
        <w:drawing>
          <wp:inline distB="114300" distT="114300" distL="114300" distR="114300">
            <wp:extent cx="5943600" cy="4864100"/>
            <wp:effectExtent b="0" l="0" r="0" t="0"/>
            <wp:docPr id="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Comparisons between Stokes Model and Extended Model.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 35</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Salinity S = 35 ppt. The basic Stokes Model assumes a cell radius of r = 10 μm and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(“Stokes’ Model”). The Extended Model assumes a cell radius of r = 10 μm, a frustle thickness of t = 1 μm, a cytoplasm density of ⍴</w:t>
      </w:r>
      <w:r w:rsidDel="00000000" w:rsidR="00000000" w:rsidRPr="00000000">
        <w:rPr>
          <w:sz w:val="20"/>
          <w:szCs w:val="20"/>
          <w:vertAlign w:val="subscript"/>
          <w:rtl w:val="0"/>
        </w:rPr>
        <w:t xml:space="preserve">cyt </w:t>
      </w:r>
      <w:r w:rsidDel="00000000" w:rsidR="00000000" w:rsidRPr="00000000">
        <w:rPr>
          <w:sz w:val="20"/>
          <w:szCs w:val="20"/>
          <w:rtl w:val="0"/>
        </w:rPr>
        <w:t xml:space="preserve">=</w:t>
      </w:r>
      <w:r w:rsidDel="00000000" w:rsidR="00000000" w:rsidRPr="00000000">
        <w:rPr>
          <w:sz w:val="20"/>
          <w:szCs w:val="20"/>
          <w:rtl w:val="0"/>
        </w:rPr>
        <w:t xml:space="preserve">1065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and a frustle density of ⍴</w:t>
      </w:r>
      <w:r w:rsidDel="00000000" w:rsidR="00000000" w:rsidRPr="00000000">
        <w:rPr>
          <w:sz w:val="20"/>
          <w:szCs w:val="20"/>
          <w:vertAlign w:val="subscript"/>
          <w:rtl w:val="0"/>
        </w:rPr>
        <w:t xml:space="preserve">fr</w:t>
      </w:r>
      <w:r w:rsidDel="00000000" w:rsidR="00000000" w:rsidRPr="00000000">
        <w:rPr>
          <w:sz w:val="20"/>
          <w:szCs w:val="20"/>
          <w:rtl w:val="0"/>
        </w:rPr>
        <w:t xml:space="preserve"> =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 (“Extended Model”). Each model is presented with and without the influence of dynamic viscosity.</w:t>
      </w: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b w:val="1"/>
          <w:sz w:val="24"/>
          <w:szCs w:val="24"/>
        </w:rPr>
        <w:drawing>
          <wp:inline distB="114300" distT="114300" distL="114300" distR="114300">
            <wp:extent cx="5943600" cy="4876800"/>
            <wp:effectExtent b="0" l="0" r="0" t="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sz w:val="20"/>
          <w:szCs w:val="20"/>
        </w:rPr>
      </w:pPr>
      <w:r w:rsidDel="00000000" w:rsidR="00000000" w:rsidRPr="00000000">
        <w:rPr>
          <w:b w:val="1"/>
          <w:sz w:val="20"/>
          <w:szCs w:val="20"/>
          <w:rtl w:val="0"/>
        </w:rPr>
        <w:t xml:space="preserve">Figure 5: </w:t>
      </w:r>
      <w:r w:rsidDel="00000000" w:rsidR="00000000" w:rsidRPr="00000000">
        <w:rPr>
          <w:sz w:val="20"/>
          <w:szCs w:val="20"/>
          <w:rtl w:val="0"/>
        </w:rPr>
        <w:t xml:space="preserve">Comparison of Sinking Speed (U) of diatoms at different densities. Sinking Speeds are calculated using the Extended Model. The hypothetical diatoms have radius r = 10 and frustle thickness t = 1 μm</w:t>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b w:val="1"/>
          <w:sz w:val="24"/>
          <w:szCs w:val="24"/>
        </w:rPr>
        <w:drawing>
          <wp:inline distB="114300" distT="114300" distL="114300" distR="114300">
            <wp:extent cx="5610225" cy="2486025"/>
            <wp:effectExtent b="0" l="0" r="0" t="0"/>
            <wp:docPr id="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6102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Table 1: Typical values for variables relevant</w:t>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bookmarkStart w:colFirst="0" w:colLast="0" w:name="t7q8v6i1tvry" w:id="4"/>
    <w:bookmarkEnd w:id="4"/>
    <w:p w:rsidR="00000000" w:rsidDel="00000000" w:rsidP="00000000" w:rsidRDefault="00000000" w:rsidRPr="00000000" w14:paraId="00000041">
      <w:pPr>
        <w:contextualSpacing w:val="0"/>
        <w:rPr>
          <w:b w:val="1"/>
          <w:sz w:val="24"/>
          <w:szCs w:val="24"/>
        </w:rPr>
      </w:pPr>
      <w:r w:rsidDel="00000000" w:rsidR="00000000" w:rsidRPr="00000000">
        <w:rPr>
          <w:b w:val="1"/>
          <w:sz w:val="24"/>
          <w:szCs w:val="24"/>
          <w:rtl w:val="0"/>
        </w:rPr>
        <w:t xml:space="preserve">B. Global Maps of Important Environmental Variables that are measured by satellite (T, S, μ)</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ind w:firstLine="720"/>
        <w:contextualSpacing w:val="0"/>
        <w:rPr>
          <w:sz w:val="24"/>
          <w:szCs w:val="24"/>
        </w:rPr>
      </w:pPr>
      <w:r w:rsidDel="00000000" w:rsidR="00000000" w:rsidRPr="00000000">
        <w:rPr>
          <w:sz w:val="24"/>
          <w:szCs w:val="24"/>
          <w:rtl w:val="0"/>
        </w:rPr>
        <w:t xml:space="preserve">Dynamic viscosity is dependent on salinity and temperature. Using data gathered by satellites, we generate a yearly average sea surface salinity and sea surface temperature model. Sea surface salinity data is taken from the Aquarius satellite during the year 2012, using monthly averages at 1 degree resolution. Sea surface temperature data is taken from MODIS during the year 2012, using monthly averages at 1 degree resolution. Both sets of data are downloaded from the NASA OceanColor Website. A yearly average of both sea surface temperature and sea surface salinity is created using the data (Fig.6). Using both the sea surface salinity and the sea surface temperature data, a global map of the yearly average dynamic viscosity of the ocean is created (Fig. 7). </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Pr>
        <w:drawing>
          <wp:inline distB="114300" distT="114300" distL="114300" distR="114300">
            <wp:extent cx="6249213" cy="3243263"/>
            <wp:effectExtent b="0" l="0" r="0" t="0"/>
            <wp:docPr id="2" name="image12.png"/>
            <a:graphic>
              <a:graphicData uri="http://schemas.openxmlformats.org/drawingml/2006/picture">
                <pic:pic>
                  <pic:nvPicPr>
                    <pic:cNvPr id="0" name="image12.png"/>
                    <pic:cNvPicPr preferRelativeResize="0"/>
                  </pic:nvPicPr>
                  <pic:blipFill>
                    <a:blip r:embed="rId14"/>
                    <a:srcRect b="0" l="18589" r="18108" t="0"/>
                    <a:stretch>
                      <a:fillRect/>
                    </a:stretch>
                  </pic:blipFill>
                  <pic:spPr>
                    <a:xfrm>
                      <a:off x="0" y="0"/>
                      <a:ext cx="6249213"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sz w:val="24"/>
          <w:szCs w:val="24"/>
        </w:rPr>
        <w:drawing>
          <wp:inline distB="114300" distT="114300" distL="114300" distR="114300">
            <wp:extent cx="6262688" cy="3343239"/>
            <wp:effectExtent b="0" l="0" r="0" t="0"/>
            <wp:docPr id="3" name="image16.png"/>
            <a:graphic>
              <a:graphicData uri="http://schemas.openxmlformats.org/drawingml/2006/picture">
                <pic:pic>
                  <pic:nvPicPr>
                    <pic:cNvPr id="0" name="image16.png"/>
                    <pic:cNvPicPr preferRelativeResize="0"/>
                  </pic:nvPicPr>
                  <pic:blipFill>
                    <a:blip r:embed="rId15"/>
                    <a:srcRect b="0" l="4967" r="5769" t="0"/>
                    <a:stretch>
                      <a:fillRect/>
                    </a:stretch>
                  </pic:blipFill>
                  <pic:spPr>
                    <a:xfrm>
                      <a:off x="0" y="0"/>
                      <a:ext cx="6262688" cy="334323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Figure 6: Global annual average of sea surface salinity in parts per thousand (top) and temperature in degrees Celsius (bottom) for the year 2012. </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bookmarkStart w:colFirst="0" w:colLast="0" w:name="qiw5ud1qg3of" w:id="5"/>
    <w:bookmarkEnd w:id="5"/>
    <w:p w:rsidR="00000000" w:rsidDel="00000000" w:rsidP="00000000" w:rsidRDefault="00000000" w:rsidRPr="00000000" w14:paraId="0000004E">
      <w:pPr>
        <w:contextualSpacing w:val="0"/>
        <w:rPr>
          <w:sz w:val="24"/>
          <w:szCs w:val="24"/>
        </w:rPr>
      </w:pPr>
      <w:r w:rsidDel="00000000" w:rsidR="00000000" w:rsidRPr="00000000">
        <w:rPr>
          <w:b w:val="1"/>
          <w:sz w:val="24"/>
          <w:szCs w:val="24"/>
          <w:rtl w:val="0"/>
        </w:rPr>
        <w:t xml:space="preserve">C.  Particle Size Distribution and Global Carbon Flux Estimates    </w:t>
      </w:r>
      <w:r w:rsidDel="00000000" w:rsidR="00000000" w:rsidRPr="00000000">
        <w:rPr>
          <w:sz w:val="24"/>
          <w:szCs w:val="24"/>
          <w:rtl w:val="0"/>
        </w:rPr>
        <w:t xml:space="preserve">  </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 xml:space="preserve">The global distribution of phytoplankton particles can be estimated using satellite data from SeaWiFs (Kostadinov et al 2009). Phytoplankton are ordered into three distinct size classes based on radii. The three size classes are microplankton, nanoplankton, and picoplankton, which are 20 - 50 μm, 2 - 20 μm, 0.5 - 2 μm respectively. The satellite product produced by Kostadinov (2016) retrieves an estimate of the percentages that each size class contributes to the overall carbon biomass using backscattering.</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ind w:firstLine="720"/>
        <w:contextualSpacing w:val="0"/>
        <w:rPr>
          <w:sz w:val="24"/>
          <w:szCs w:val="24"/>
        </w:rPr>
      </w:pPr>
      <w:r w:rsidDel="00000000" w:rsidR="00000000" w:rsidRPr="00000000">
        <w:rPr>
          <w:sz w:val="24"/>
          <w:szCs w:val="24"/>
          <w:rtl w:val="0"/>
        </w:rPr>
        <w:t xml:space="preserve">Because diatoms represent a large population of phytoplankton in the microplankton size class, we make the simplifying assumption that the micro size class consists entirely of diatoms, and model the sinking of particles using the extended Stokes model. For the other size classes (pico, nano) we use the basic Stokes’ Model. </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ind w:firstLine="720"/>
        <w:contextualSpacing w:val="0"/>
        <w:rPr>
          <w:sz w:val="24"/>
          <w:szCs w:val="24"/>
          <w:vertAlign w:val="subscript"/>
        </w:rPr>
      </w:pPr>
      <w:r w:rsidDel="00000000" w:rsidR="00000000" w:rsidRPr="00000000">
        <w:rPr>
          <w:sz w:val="24"/>
          <w:szCs w:val="24"/>
          <w:rtl w:val="0"/>
        </w:rPr>
        <w:t xml:space="preserve">In order to generate an estimate, a weighted average of each size class is input into the respective models using the median radius for each size class (1.25 μm, 11 μm, and 35 μm, for picoplankton, nanoplankton, and microplankton, respectively.) Using the temperature and salinity data, as well as the phytoplankton size fraction (Appendix), we create an estimate of the yearly average sinking speed of all phytoplankton (Fig 7). The total carbon biomass measured from SeaWiFs backscattering (Kostadinov et al 2009) is averaged monthly for the year of 2012. The total biomass is multiplied with the average sinking speed, which gives an estimate of the carbon export (Fig 7.)</w:t>
      </w: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Pr>
        <w:drawing>
          <wp:inline distB="114300" distT="114300" distL="114300" distR="114300">
            <wp:extent cx="6494875" cy="3252788"/>
            <wp:effectExtent b="0" l="0" r="0" t="0"/>
            <wp:docPr id="8" name="image21.png"/>
            <a:graphic>
              <a:graphicData uri="http://schemas.openxmlformats.org/drawingml/2006/picture">
                <pic:pic>
                  <pic:nvPicPr>
                    <pic:cNvPr id="0" name="image21.png"/>
                    <pic:cNvPicPr preferRelativeResize="0"/>
                  </pic:nvPicPr>
                  <pic:blipFill>
                    <a:blip r:embed="rId16"/>
                    <a:srcRect b="0" l="18429" r="15384" t="0"/>
                    <a:stretch>
                      <a:fillRect/>
                    </a:stretch>
                  </pic:blipFill>
                  <pic:spPr>
                    <a:xfrm>
                      <a:off x="0" y="0"/>
                      <a:ext cx="649487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Figure 7: Global monthly average of sinking speed of phytoplankton estimate in m day</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Pr>
        <w:drawing>
          <wp:inline distB="114300" distT="114300" distL="114300" distR="114300">
            <wp:extent cx="6119813" cy="3097313"/>
            <wp:effectExtent b="0" l="0" r="0" t="0"/>
            <wp:docPr id="4" name="image17.png"/>
            <a:graphic>
              <a:graphicData uri="http://schemas.openxmlformats.org/drawingml/2006/picture">
                <pic:pic>
                  <pic:nvPicPr>
                    <pic:cNvPr id="0" name="image17.png"/>
                    <pic:cNvPicPr preferRelativeResize="0"/>
                  </pic:nvPicPr>
                  <pic:blipFill>
                    <a:blip r:embed="rId17"/>
                    <a:srcRect b="0" l="18429" r="16025" t="0"/>
                    <a:stretch>
                      <a:fillRect/>
                    </a:stretch>
                  </pic:blipFill>
                  <pic:spPr>
                    <a:xfrm>
                      <a:off x="0" y="0"/>
                      <a:ext cx="6119813" cy="30973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Figure 8: Global monthly average of phytoplankton carbon export in mmol of C (bottom)</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rtl w:val="0"/>
        </w:rPr>
      </w:r>
    </w:p>
    <w:bookmarkStart w:colFirst="0" w:colLast="0" w:name="kjcan14xqtkx" w:id="6"/>
    <w:bookmarkEnd w:id="6"/>
    <w:p w:rsidR="00000000" w:rsidDel="00000000" w:rsidP="00000000" w:rsidRDefault="00000000" w:rsidRPr="00000000" w14:paraId="00000062">
      <w:pPr>
        <w:contextualSpacing w:val="0"/>
        <w:rPr>
          <w:b w:val="1"/>
          <w:sz w:val="24"/>
          <w:szCs w:val="24"/>
        </w:rPr>
      </w:pPr>
      <w:r w:rsidDel="00000000" w:rsidR="00000000" w:rsidRPr="00000000">
        <w:rPr>
          <w:b w:val="1"/>
          <w:sz w:val="24"/>
          <w:szCs w:val="24"/>
          <w:rtl w:val="0"/>
        </w:rPr>
        <w:t xml:space="preserve">Comparisons Between Data</w:t>
      </w:r>
    </w:p>
    <w:p w:rsidR="00000000" w:rsidDel="00000000" w:rsidP="00000000" w:rsidRDefault="00000000" w:rsidRPr="00000000" w14:paraId="00000063">
      <w:pPr>
        <w:contextualSpacing w:val="0"/>
        <w:rPr>
          <w:b w:val="1"/>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ab/>
        <w:t xml:space="preserve"> Carbon export data is gathered by deployed neutrally buoyant sediment traps. Our estimated carbon export is compared to observed data gathered at 100m depth (Dunne et al 2005). The observed data offers Our estimated export is compared to the observed data. The data is plotted on a double-log plot (Fig 11) and a linear regression model is fit to the data. The estimated export is weakly correlated with the observed sediment trap data; an R</w:t>
      </w:r>
      <w:r w:rsidDel="00000000" w:rsidR="00000000" w:rsidRPr="00000000">
        <w:rPr>
          <w:sz w:val="24"/>
          <w:szCs w:val="24"/>
          <w:vertAlign w:val="superscript"/>
          <w:rtl w:val="0"/>
        </w:rPr>
        <w:t xml:space="preserve">2</w:t>
      </w:r>
      <w:r w:rsidDel="00000000" w:rsidR="00000000" w:rsidRPr="00000000">
        <w:rPr>
          <w:sz w:val="24"/>
          <w:szCs w:val="24"/>
          <w:rtl w:val="0"/>
        </w:rPr>
        <w:t xml:space="preserve"> value of 0.145. Our estimated product underestimates compared to the observed data by a exponential factor of 2-3, with 80% of the data points falling underneath the 1:1 reference line. The line of best fit plotted against the data has an equation of </w:t>
      </w:r>
      <w:r w:rsidDel="00000000" w:rsidR="00000000" w:rsidRPr="00000000">
        <w:rPr>
          <w:sz w:val="24"/>
          <w:szCs w:val="24"/>
          <w:rtl w:val="0"/>
        </w:rPr>
        <w:t xml:space="preserve">y = 0.6580x - 0.0742, where the Y axis represents the observed data and the x axis represents the estimated values.  </w:t>
      </w:r>
      <w:r w:rsidDel="00000000" w:rsidR="00000000" w:rsidRPr="00000000">
        <w:rPr>
          <w:sz w:val="24"/>
          <w:szCs w:val="24"/>
        </w:rPr>
        <w:drawing>
          <wp:inline distB="114300" distT="114300" distL="114300" distR="114300">
            <wp:extent cx="5334000" cy="4000500"/>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b w:val="1"/>
          <w:sz w:val="24"/>
          <w:szCs w:val="24"/>
        </w:rPr>
      </w:pPr>
      <w:r w:rsidDel="00000000" w:rsidR="00000000" w:rsidRPr="00000000">
        <w:rPr>
          <w:rtl w:val="0"/>
        </w:rPr>
      </w:r>
    </w:p>
    <w:p w:rsidR="00000000" w:rsidDel="00000000" w:rsidP="00000000" w:rsidRDefault="00000000" w:rsidRPr="00000000" w14:paraId="00000067">
      <w:pPr>
        <w:contextualSpacing w:val="0"/>
        <w:rPr>
          <w:b w:val="1"/>
          <w:sz w:val="24"/>
          <w:szCs w:val="24"/>
        </w:rPr>
      </w:pPr>
      <w:r w:rsidDel="00000000" w:rsidR="00000000" w:rsidRPr="00000000">
        <w:rPr>
          <w:b w:val="1"/>
          <w:sz w:val="24"/>
          <w:szCs w:val="24"/>
          <w:rtl w:val="0"/>
        </w:rPr>
        <w:t xml:space="preserve">Figure 8: A double-log plot of the estimated export vs sediment trap data (Dunne et al 2005). The solid line pictured is a 1:1 reference line. The dotted line represents the line of best fit for the data. The R</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value for the data is 0.145.</w:t>
      </w:r>
    </w:p>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rtl w:val="0"/>
        </w:rPr>
      </w:r>
    </w:p>
    <w:p w:rsidR="00000000" w:rsidDel="00000000" w:rsidP="00000000" w:rsidRDefault="00000000" w:rsidRPr="00000000" w14:paraId="0000006F">
      <w:pPr>
        <w:contextualSpacing w:val="0"/>
        <w:rPr>
          <w:b w:val="1"/>
          <w:sz w:val="24"/>
          <w:szCs w:val="24"/>
        </w:rPr>
      </w:pPr>
      <w:r w:rsidDel="00000000" w:rsidR="00000000" w:rsidRPr="00000000">
        <w:rPr>
          <w:rtl w:val="0"/>
        </w:rPr>
      </w:r>
    </w:p>
    <w:p w:rsidR="00000000" w:rsidDel="00000000" w:rsidP="00000000" w:rsidRDefault="00000000" w:rsidRPr="00000000" w14:paraId="00000070">
      <w:pPr>
        <w:contextualSpacing w:val="0"/>
        <w:rPr>
          <w:b w:val="1"/>
          <w:sz w:val="24"/>
          <w:szCs w:val="24"/>
        </w:rPr>
      </w:pP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rtl w:val="0"/>
        </w:rPr>
      </w:r>
    </w:p>
    <w:p w:rsidR="00000000" w:rsidDel="00000000" w:rsidP="00000000" w:rsidRDefault="00000000" w:rsidRPr="00000000" w14:paraId="00000072">
      <w:pPr>
        <w:contextualSpacing w:val="0"/>
        <w:rPr>
          <w:b w:val="1"/>
          <w:sz w:val="24"/>
          <w:szCs w:val="24"/>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rtl w:val="0"/>
        </w:rPr>
      </w:r>
    </w:p>
    <w:p w:rsidR="00000000" w:rsidDel="00000000" w:rsidP="00000000" w:rsidRDefault="00000000" w:rsidRPr="00000000" w14:paraId="00000074">
      <w:pPr>
        <w:contextualSpacing w:val="0"/>
        <w:rPr>
          <w:b w:val="1"/>
          <w:sz w:val="24"/>
          <w:szCs w:val="24"/>
        </w:rPr>
      </w:pPr>
      <w:r w:rsidDel="00000000" w:rsidR="00000000" w:rsidRPr="00000000">
        <w:rPr>
          <w:rtl w:val="0"/>
        </w:rPr>
      </w:r>
    </w:p>
    <w:bookmarkStart w:colFirst="0" w:colLast="0" w:name="37rzvpk61e4t" w:id="7"/>
    <w:bookmarkEnd w:id="7"/>
    <w:p w:rsidR="00000000" w:rsidDel="00000000" w:rsidP="00000000" w:rsidRDefault="00000000" w:rsidRPr="00000000" w14:paraId="00000075">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6">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generation of a carbon export estimate from satellite products still has a long way to go. Furthermore, the carbon export estimates are lower than observed and predicted estimates, which may come from a variety of different sources of uncertainty. When compared to in situ data provided by Dunne et al 2005, our estimate has very weak correlation and is extremely noisy. It is uncertain whether the noise is inherent in the data collection process or from the satellite products themselves.</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ab/>
        <w:t xml:space="preserve">Stokes’ Law is still regarded as a good estimation tool for planktonic sinking speeds. Using the presented extended model can help tighten the overestimation of sinking speeds for larger particles, but is limited to single particles and cannot account for aggregates, which do account for a large portion of carbon export. Aggregates may also sink very quickly, which is a possible explanation as to why our carbon export estimate is underestimating biomass export despite sinking speeds being overestimated. </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ind w:firstLine="720"/>
        <w:contextualSpacing w:val="0"/>
        <w:rPr>
          <w:sz w:val="24"/>
          <w:szCs w:val="24"/>
        </w:rPr>
      </w:pPr>
      <w:r w:rsidDel="00000000" w:rsidR="00000000" w:rsidRPr="00000000">
        <w:rPr>
          <w:sz w:val="24"/>
          <w:szCs w:val="24"/>
          <w:rtl w:val="0"/>
        </w:rPr>
        <w:t xml:space="preserve">Dynamic viscosity has a non negligible effect on sinking speeds. When accounting for both temperature and salinity, over the normal ranges of the physical properties of seawater (0℃ - 40℃ and 30 g / kg - 40 g / kg, for temperature and salinity, respectively), there can be a difference of upwards of 40% increase in sinking speed. The variation in dynamic viscosity is dominated by temperature, which accounts for 86% of the difference in estimated sinking speed at the extremes of temperature and salinity. </w:t>
      </w:r>
    </w:p>
    <w:p w:rsidR="00000000" w:rsidDel="00000000" w:rsidP="00000000" w:rsidRDefault="00000000" w:rsidRPr="00000000" w14:paraId="0000007B">
      <w:pPr>
        <w:ind w:firstLine="720"/>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 Satellite data can only capture surface information, and relies on an N</w:t>
      </w:r>
      <w:r w:rsidDel="00000000" w:rsidR="00000000" w:rsidRPr="00000000">
        <w:rPr>
          <w:sz w:val="24"/>
          <w:szCs w:val="24"/>
          <w:vertAlign w:val="subscript"/>
          <w:rtl w:val="0"/>
        </w:rPr>
        <w:t xml:space="preserve">0</w:t>
      </w:r>
      <w:r w:rsidDel="00000000" w:rsidR="00000000" w:rsidRPr="00000000">
        <w:rPr>
          <w:sz w:val="24"/>
          <w:szCs w:val="24"/>
          <w:rtl w:val="0"/>
        </w:rPr>
        <w:t xml:space="preserve"> calibration constant (Kostadinov et al 2016), which is not finalized. The satellite product’s power law algorithm is still fairly new, and is not yet determined to be correct. </w:t>
      </w:r>
    </w:p>
    <w:p w:rsidR="00000000" w:rsidDel="00000000" w:rsidP="00000000" w:rsidRDefault="00000000" w:rsidRPr="00000000" w14:paraId="0000007D">
      <w:pPr>
        <w:ind w:firstLine="720"/>
        <w:contextualSpacing w:val="0"/>
        <w:rPr>
          <w:sz w:val="24"/>
          <w:szCs w:val="24"/>
        </w:rPr>
      </w:pPr>
      <w:r w:rsidDel="00000000" w:rsidR="00000000" w:rsidRPr="00000000">
        <w:rPr>
          <w:rtl w:val="0"/>
        </w:rPr>
      </w:r>
    </w:p>
    <w:p w:rsidR="00000000" w:rsidDel="00000000" w:rsidP="00000000" w:rsidRDefault="00000000" w:rsidRPr="00000000" w14:paraId="0000007E">
      <w:pPr>
        <w:ind w:firstLine="720"/>
        <w:contextualSpacing w:val="0"/>
        <w:rPr>
          <w:sz w:val="24"/>
          <w:szCs w:val="24"/>
        </w:rPr>
      </w:pPr>
      <w:r w:rsidDel="00000000" w:rsidR="00000000" w:rsidRPr="00000000">
        <w:rPr>
          <w:sz w:val="24"/>
          <w:szCs w:val="24"/>
          <w:rtl w:val="0"/>
        </w:rPr>
        <w:t xml:space="preserve">Another disparity is that there are high sinking speed estimates at tropical coasts but the export estimates are low. This can be due to less total biomass at the area, which leads to less total carbon export. Additionally, there are areas such as the North Atlantic that do not have abnormally high sinking speeds, but have higher carbon export due to a higher fraction of larger sized plankton and more total biomass. </w:t>
      </w:r>
    </w:p>
    <w:p w:rsidR="00000000" w:rsidDel="00000000" w:rsidP="00000000" w:rsidRDefault="00000000" w:rsidRPr="00000000" w14:paraId="0000007F">
      <w:pPr>
        <w:ind w:firstLine="720"/>
        <w:contextualSpacing w:val="0"/>
        <w:rPr>
          <w:sz w:val="24"/>
          <w:szCs w:val="24"/>
        </w:rPr>
      </w:pPr>
      <w:r w:rsidDel="00000000" w:rsidR="00000000" w:rsidRPr="00000000">
        <w:rPr>
          <w:rtl w:val="0"/>
        </w:rPr>
      </w:r>
    </w:p>
    <w:p w:rsidR="00000000" w:rsidDel="00000000" w:rsidP="00000000" w:rsidRDefault="00000000" w:rsidRPr="00000000" w14:paraId="00000080">
      <w:pPr>
        <w:ind w:firstLine="720"/>
        <w:contextualSpacing w:val="0"/>
        <w:rPr>
          <w:sz w:val="24"/>
          <w:szCs w:val="24"/>
        </w:rPr>
      </w:pPr>
      <w:r w:rsidDel="00000000" w:rsidR="00000000" w:rsidRPr="00000000">
        <w:rPr>
          <w:sz w:val="24"/>
          <w:szCs w:val="24"/>
          <w:rtl w:val="0"/>
        </w:rPr>
        <w:t xml:space="preserve">The estimated yearly carbon export is 0.68 petagrams of carbon, which is about 7.3 times lower than the lowest estimate of carbon export (Smayda 1970). There are several explanations to why the estimate is so low. One explanation may be that since the stokes law model does not apply to large aggregate plankton masses, that the sinking speed and biomass estimates are lower than observed. Furthermore, the satellite products of phytoplankton biomass estimate on the low end of ~0.25 Gt of Carbon (Kostadinov et al 2106). Another explanation to the low estimates may lie in the calculation of the average sinking speed of phytoplankton. We assume that the microplankton size class is made of entirely diatomic plankton. However, because diatoms with thin frustles are largely cytoplasmic and less dense than traditional phytoplankton particles, the sinking speed averages of microplankton dominated areas may be on the low side.</w:t>
      </w:r>
    </w:p>
    <w:p w:rsidR="00000000" w:rsidDel="00000000" w:rsidP="00000000" w:rsidRDefault="00000000" w:rsidRPr="00000000" w14:paraId="00000081">
      <w:pPr>
        <w:contextualSpacing w:val="0"/>
        <w:rPr>
          <w:b w:val="1"/>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Another potential explanation of the low correlation to observations is the inherent uncertainty in the sediment trap field measurements (Buesseler et al 2007). One explanation for the noisy data is that sediment traps must remain upright to accurately record data, leading to inconsistencies in areas with high turbulence. Sediment traps are also not deployed uniformly, and many locations only have a single observation. Another problem with sediment traps is zooplankton (and small fish) entering the sediment traps, increasing the mass. In some studies the removal of those contaminated measurements is not done or done improperly (Buesseler et al 2007). Finally, solubilization of the samples increases dissolved elements in sediment trap mediums, skewing organic to inorganic carbon ratios (Antia 2005).</w:t>
      </w: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b w:val="1"/>
          <w:sz w:val="24"/>
          <w:szCs w:val="24"/>
        </w:rPr>
      </w:pPr>
      <w:r w:rsidDel="00000000" w:rsidR="00000000" w:rsidRPr="00000000">
        <w:rPr>
          <w:b w:val="1"/>
          <w:sz w:val="24"/>
          <w:szCs w:val="24"/>
          <w:rtl w:val="0"/>
        </w:rPr>
        <w:t xml:space="preserve">Summary and Conclusion</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ind w:firstLine="720"/>
        <w:contextualSpacing w:val="0"/>
        <w:rPr>
          <w:b w:val="1"/>
          <w:sz w:val="24"/>
          <w:szCs w:val="24"/>
        </w:rPr>
      </w:pPr>
      <w:r w:rsidDel="00000000" w:rsidR="00000000" w:rsidRPr="00000000">
        <w:rPr>
          <w:sz w:val="24"/>
          <w:szCs w:val="24"/>
          <w:rtl w:val="0"/>
        </w:rPr>
        <w:t xml:space="preserve">This paper presents a global estimate of carbon export derived entirely of satellite based measurements. To compute carbon flux, it uses satellite-derived estimates of the abundance of particles in three size classes (micro, nano and pico) together with a sinking speed estimate computed using Stokes’ law for the nano and pico class particles and an extended Stokes’ law for micro class particles. The sinking speeds make use of a geographically-varying viscosity which is estimated using satellite-based measurements of salinity and temperature. The magnitude of the resulting global carbon export estimate, 0.68 PgC/year is implausibly small - multiple lines of evidence constrain the export to between 5 and 12 PgC/year. Possible reasons for the underestimation are explored and discussed.</w:t>
      </w:r>
      <w:r w:rsidDel="00000000" w:rsidR="00000000" w:rsidRPr="00000000">
        <w:rPr>
          <w:rtl w:val="0"/>
        </w:rPr>
      </w:r>
    </w:p>
    <w:p w:rsidR="00000000" w:rsidDel="00000000" w:rsidP="00000000" w:rsidRDefault="00000000" w:rsidRPr="00000000" w14:paraId="00000087">
      <w:pPr>
        <w:contextualSpacing w:val="0"/>
        <w:rPr>
          <w:b w:val="1"/>
          <w:sz w:val="24"/>
          <w:szCs w:val="24"/>
        </w:rPr>
      </w:pPr>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b w:val="1"/>
          <w:sz w:val="24"/>
          <w:szCs w:val="24"/>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rtl w:val="0"/>
        </w:rPr>
      </w:r>
    </w:p>
    <w:p w:rsidR="00000000" w:rsidDel="00000000" w:rsidP="00000000" w:rsidRDefault="00000000" w:rsidRPr="00000000" w14:paraId="0000009E">
      <w:pPr>
        <w:contextualSpacing w:val="0"/>
        <w:rPr>
          <w:b w:val="1"/>
          <w:sz w:val="24"/>
          <w:szCs w:val="24"/>
        </w:rPr>
      </w:pPr>
      <w:r w:rsidDel="00000000" w:rsidR="00000000" w:rsidRPr="00000000">
        <w:rPr>
          <w:rtl w:val="0"/>
        </w:rPr>
      </w:r>
    </w:p>
    <w:p w:rsidR="00000000" w:rsidDel="00000000" w:rsidP="00000000" w:rsidRDefault="00000000" w:rsidRPr="00000000" w14:paraId="0000009F">
      <w:pPr>
        <w:contextualSpacing w:val="0"/>
        <w:rPr>
          <w:b w:val="1"/>
          <w:sz w:val="24"/>
          <w:szCs w:val="24"/>
        </w:rPr>
      </w:pP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contextualSpacing w:val="0"/>
        <w:rPr>
          <w:b w:val="1"/>
          <w:sz w:val="24"/>
          <w:szCs w:val="24"/>
        </w:rPr>
      </w:pPr>
      <w:r w:rsidDel="00000000" w:rsidR="00000000" w:rsidRPr="00000000">
        <w:rPr>
          <w:rtl w:val="0"/>
        </w:rPr>
      </w:r>
    </w:p>
    <w:p w:rsidR="00000000" w:rsidDel="00000000" w:rsidP="00000000" w:rsidRDefault="00000000" w:rsidRPr="00000000" w14:paraId="000000A2">
      <w:pPr>
        <w:contextualSpacing w:val="0"/>
        <w:rPr>
          <w:b w:val="1"/>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b w:val="1"/>
          <w:sz w:val="24"/>
          <w:szCs w:val="24"/>
          <w:rtl w:val="0"/>
        </w:rPr>
        <w:t xml:space="preserve"> </w:t>
      </w:r>
    </w:p>
    <w:bookmarkStart w:colFirst="0" w:colLast="0" w:name="6r88flfd554k" w:id="8"/>
    <w:bookmarkEnd w:id="8"/>
    <w:p w:rsidR="00000000" w:rsidDel="00000000" w:rsidP="00000000" w:rsidRDefault="00000000" w:rsidRPr="00000000" w14:paraId="000000A7">
      <w:pPr>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A8">
      <w:pPr>
        <w:contextualSpacing w:val="0"/>
        <w:rPr>
          <w:sz w:val="21"/>
          <w:szCs w:val="21"/>
        </w:rPr>
      </w:pPr>
      <w:r w:rsidDel="00000000" w:rsidR="00000000" w:rsidRPr="00000000">
        <w:rPr>
          <w:sz w:val="21"/>
          <w:szCs w:val="21"/>
          <w:rtl w:val="0"/>
        </w:rPr>
        <w:t xml:space="preserve">Antia, A. N. (2005). Particle-associated dissolved elemental fluxes: revising the stochiometry of mixed layer export. Biogeosciences Discussions, 2(2), 275–302. </w:t>
      </w:r>
      <w:hyperlink r:id="rId19">
        <w:r w:rsidDel="00000000" w:rsidR="00000000" w:rsidRPr="00000000">
          <w:rPr>
            <w:color w:val="1155cc"/>
            <w:sz w:val="21"/>
            <w:szCs w:val="21"/>
            <w:u w:val="single"/>
            <w:rtl w:val="0"/>
          </w:rPr>
          <w:t xml:space="preserve">https://doi.org/10.5194/bgd-2-275-2005</w:t>
        </w:r>
      </w:hyperlink>
      <w:r w:rsidDel="00000000" w:rsidR="00000000" w:rsidRPr="00000000">
        <w:rPr>
          <w:rtl w:val="0"/>
        </w:rPr>
      </w:r>
    </w:p>
    <w:p w:rsidR="00000000" w:rsidDel="00000000" w:rsidP="00000000" w:rsidRDefault="00000000" w:rsidRPr="00000000" w14:paraId="000000A9">
      <w:pPr>
        <w:contextualSpacing w:val="0"/>
        <w:rPr>
          <w:b w:val="1"/>
          <w:sz w:val="24"/>
          <w:szCs w:val="24"/>
        </w:rPr>
      </w:pPr>
      <w:r w:rsidDel="00000000" w:rsidR="00000000" w:rsidRPr="00000000">
        <w:rPr>
          <w:rtl w:val="0"/>
        </w:rPr>
      </w:r>
    </w:p>
    <w:p w:rsidR="00000000" w:rsidDel="00000000" w:rsidP="00000000" w:rsidRDefault="00000000" w:rsidRPr="00000000" w14:paraId="000000AA">
      <w:pPr>
        <w:contextualSpacing w:val="0"/>
        <w:rPr>
          <w:sz w:val="21"/>
          <w:szCs w:val="21"/>
        </w:rPr>
      </w:pPr>
      <w:r w:rsidDel="00000000" w:rsidR="00000000" w:rsidRPr="00000000">
        <w:rPr>
          <w:sz w:val="21"/>
          <w:szCs w:val="21"/>
          <w:rtl w:val="0"/>
        </w:rPr>
        <w:t xml:space="preserve">Buesseler, K. O., Antia, A. N., Chen, M., Fowler, S. W., Gardner, W. D., Gustafsson, O., … Trull, T. (2007). An assessment of the use of sediment traps for estimating upper ocean particle fluxes. Journal of Marine Research, 65(3), 345–416. https://doi.org/10.1357/002224007781567621</w:t>
      </w:r>
    </w:p>
    <w:p w:rsidR="00000000" w:rsidDel="00000000" w:rsidP="00000000" w:rsidRDefault="00000000" w:rsidRPr="00000000" w14:paraId="000000AB">
      <w:pPr>
        <w:contextualSpacing w:val="0"/>
        <w:rPr>
          <w:sz w:val="21"/>
          <w:szCs w:val="21"/>
        </w:rPr>
      </w:pPr>
      <w:r w:rsidDel="00000000" w:rsidR="00000000" w:rsidRPr="00000000">
        <w:rPr>
          <w:sz w:val="21"/>
          <w:szCs w:val="21"/>
          <w:rtl w:val="0"/>
        </w:rPr>
        <w:t xml:space="preserve">Dunne, J. P., Armstrong, R. A., Gnanadesikan, A., &amp; Sarmiento, J. L. (2005). Empirical and mechanistic models for the particle export ratio. Global Biogeochemical Cycles, 19(4), n/a-n/a. </w:t>
      </w:r>
      <w:hyperlink r:id="rId20">
        <w:r w:rsidDel="00000000" w:rsidR="00000000" w:rsidRPr="00000000">
          <w:rPr>
            <w:color w:val="1155cc"/>
            <w:sz w:val="21"/>
            <w:szCs w:val="21"/>
            <w:u w:val="single"/>
            <w:rtl w:val="0"/>
          </w:rPr>
          <w:t xml:space="preserve">https://doi.org/10.1029/2004gb002390</w:t>
        </w:r>
      </w:hyperlink>
      <w:r w:rsidDel="00000000" w:rsidR="00000000" w:rsidRPr="00000000">
        <w:rPr>
          <w:rtl w:val="0"/>
        </w:rPr>
      </w:r>
    </w:p>
    <w:p w:rsidR="00000000" w:rsidDel="00000000" w:rsidP="00000000" w:rsidRDefault="00000000" w:rsidRPr="00000000" w14:paraId="000000AC">
      <w:pPr>
        <w:contextualSpacing w:val="0"/>
        <w:rPr>
          <w:sz w:val="21"/>
          <w:szCs w:val="21"/>
        </w:rPr>
      </w:pPr>
      <w:r w:rsidDel="00000000" w:rsidR="00000000" w:rsidRPr="00000000">
        <w:rPr>
          <w:rtl w:val="0"/>
        </w:rPr>
      </w:r>
    </w:p>
    <w:p w:rsidR="00000000" w:rsidDel="00000000" w:rsidP="00000000" w:rsidRDefault="00000000" w:rsidRPr="00000000" w14:paraId="000000AD">
      <w:pPr>
        <w:contextualSpacing w:val="0"/>
        <w:rPr>
          <w:sz w:val="21"/>
          <w:szCs w:val="21"/>
        </w:rPr>
      </w:pPr>
      <w:r w:rsidDel="00000000" w:rsidR="00000000" w:rsidRPr="00000000">
        <w:rPr>
          <w:sz w:val="21"/>
          <w:szCs w:val="21"/>
          <w:rtl w:val="0"/>
        </w:rPr>
        <w:t xml:space="preserve">Kostadinov, T. S., Siegel, D. A., &amp; Maritorena, S. (2009). Retrieval of the particle size distribution from satellite ocean color observations. Journal of Geophysical Research, 114(C9). </w:t>
      </w:r>
      <w:hyperlink r:id="rId21">
        <w:r w:rsidDel="00000000" w:rsidR="00000000" w:rsidRPr="00000000">
          <w:rPr>
            <w:color w:val="1155cc"/>
            <w:sz w:val="21"/>
            <w:szCs w:val="21"/>
            <w:u w:val="single"/>
            <w:rtl w:val="0"/>
          </w:rPr>
          <w:t xml:space="preserve">https://doi.org/10.1029/2009jc005303</w:t>
        </w:r>
      </w:hyperlink>
      <w:r w:rsidDel="00000000" w:rsidR="00000000" w:rsidRPr="00000000">
        <w:rPr>
          <w:rtl w:val="0"/>
        </w:rPr>
      </w:r>
    </w:p>
    <w:p w:rsidR="00000000" w:rsidDel="00000000" w:rsidP="00000000" w:rsidRDefault="00000000" w:rsidRPr="00000000" w14:paraId="000000AE">
      <w:pPr>
        <w:contextualSpacing w:val="0"/>
        <w:rPr>
          <w:sz w:val="21"/>
          <w:szCs w:val="21"/>
        </w:rPr>
      </w:pPr>
      <w:r w:rsidDel="00000000" w:rsidR="00000000" w:rsidRPr="00000000">
        <w:rPr>
          <w:rtl w:val="0"/>
        </w:rPr>
      </w:r>
    </w:p>
    <w:p w:rsidR="00000000" w:rsidDel="00000000" w:rsidP="00000000" w:rsidRDefault="00000000" w:rsidRPr="00000000" w14:paraId="000000AF">
      <w:pPr>
        <w:contextualSpacing w:val="0"/>
        <w:rPr>
          <w:sz w:val="21"/>
          <w:szCs w:val="21"/>
        </w:rPr>
      </w:pPr>
      <w:r w:rsidDel="00000000" w:rsidR="00000000" w:rsidRPr="00000000">
        <w:rPr>
          <w:sz w:val="21"/>
          <w:szCs w:val="21"/>
          <w:rtl w:val="0"/>
        </w:rPr>
        <w:t xml:space="preserve">Kostadinov, T. S., Milutinovic, S., Marinov, I., &amp; Cabré, A. (2016). Size-partitioned phytoplankton carbon concentrations retrieved from ocean color data, links to data in NetCDF format, supplement to: Kostadinov, Tihomir S; Milutinovic, Svetlana; Marinov, Irina; Cabré, Anna (2016): Carbon-based phytoplankton size classes retrieved via ocean color estimates of the particle size distribution. Ocean Science, 12(2), 561-575 [Data set]. PANGAEA - Data Publisher for Earth &amp; Environmental Science. </w:t>
      </w:r>
      <w:hyperlink r:id="rId22">
        <w:r w:rsidDel="00000000" w:rsidR="00000000" w:rsidRPr="00000000">
          <w:rPr>
            <w:color w:val="1155cc"/>
            <w:sz w:val="21"/>
            <w:szCs w:val="21"/>
            <w:u w:val="single"/>
            <w:rtl w:val="0"/>
          </w:rPr>
          <w:t xml:space="preserve">https://doi.org/10.1594/pangaea.859005</w:t>
        </w:r>
      </w:hyperlink>
      <w:r w:rsidDel="00000000" w:rsidR="00000000" w:rsidRPr="00000000">
        <w:rPr>
          <w:rtl w:val="0"/>
        </w:rPr>
      </w:r>
    </w:p>
    <w:p w:rsidR="00000000" w:rsidDel="00000000" w:rsidP="00000000" w:rsidRDefault="00000000" w:rsidRPr="00000000" w14:paraId="000000B0">
      <w:pPr>
        <w:contextualSpacing w:val="0"/>
        <w:rPr>
          <w:sz w:val="21"/>
          <w:szCs w:val="21"/>
        </w:rPr>
      </w:pPr>
      <w:r w:rsidDel="00000000" w:rsidR="00000000" w:rsidRPr="00000000">
        <w:rPr>
          <w:rtl w:val="0"/>
        </w:rPr>
      </w:r>
    </w:p>
    <w:p w:rsidR="00000000" w:rsidDel="00000000" w:rsidP="00000000" w:rsidRDefault="00000000" w:rsidRPr="00000000" w14:paraId="000000B1">
      <w:pPr>
        <w:contextualSpacing w:val="0"/>
        <w:rPr>
          <w:sz w:val="21"/>
          <w:szCs w:val="21"/>
        </w:rPr>
      </w:pPr>
      <w:r w:rsidDel="00000000" w:rsidR="00000000" w:rsidRPr="00000000">
        <w:rPr>
          <w:sz w:val="21"/>
          <w:szCs w:val="21"/>
          <w:rtl w:val="0"/>
        </w:rPr>
        <w:t xml:space="preserve">Miklasz, K. A., &amp; Denny, M. W. (2010). Diatom sinkings speeds: Improved predictions and insight from a modified Stokes’ law. Limnology and Oceanography, 55(6), 2513–2525. </w:t>
      </w:r>
      <w:hyperlink r:id="rId23">
        <w:r w:rsidDel="00000000" w:rsidR="00000000" w:rsidRPr="00000000">
          <w:rPr>
            <w:color w:val="1155cc"/>
            <w:sz w:val="21"/>
            <w:szCs w:val="21"/>
            <w:u w:val="single"/>
            <w:rtl w:val="0"/>
          </w:rPr>
          <w:t xml:space="preserve">https://doi.org/10.4319/lo.2010.55.6.2513</w:t>
        </w:r>
      </w:hyperlink>
      <w:r w:rsidDel="00000000" w:rsidR="00000000" w:rsidRPr="00000000">
        <w:rPr>
          <w:rtl w:val="0"/>
        </w:rPr>
      </w:r>
    </w:p>
    <w:p w:rsidR="00000000" w:rsidDel="00000000" w:rsidP="00000000" w:rsidRDefault="00000000" w:rsidRPr="00000000" w14:paraId="000000B2">
      <w:pPr>
        <w:contextualSpacing w:val="0"/>
        <w:rPr>
          <w:sz w:val="21"/>
          <w:szCs w:val="21"/>
        </w:rPr>
      </w:pPr>
      <w:r w:rsidDel="00000000" w:rsidR="00000000" w:rsidRPr="00000000">
        <w:rPr>
          <w:rtl w:val="0"/>
        </w:rPr>
      </w:r>
    </w:p>
    <w:p w:rsidR="00000000" w:rsidDel="00000000" w:rsidP="00000000" w:rsidRDefault="00000000" w:rsidRPr="00000000" w14:paraId="000000B3">
      <w:pPr>
        <w:contextualSpacing w:val="0"/>
        <w:rPr>
          <w:sz w:val="21"/>
          <w:szCs w:val="21"/>
        </w:rPr>
      </w:pPr>
      <w:r w:rsidDel="00000000" w:rsidR="00000000" w:rsidRPr="00000000">
        <w:rPr>
          <w:sz w:val="21"/>
          <w:szCs w:val="21"/>
          <w:rtl w:val="0"/>
        </w:rPr>
        <w:t xml:space="preserve">Nayar, K. G., Sharqawy, M. H., Banchik, L. D., &amp; Lienhard V, J. H. (2016). Thermophysical properties of seawater: A review and new correlations that include pressure dependence. Desalination, 390, 1–24. </w:t>
      </w:r>
      <w:hyperlink r:id="rId24">
        <w:r w:rsidDel="00000000" w:rsidR="00000000" w:rsidRPr="00000000">
          <w:rPr>
            <w:color w:val="1155cc"/>
            <w:sz w:val="21"/>
            <w:szCs w:val="21"/>
            <w:u w:val="single"/>
            <w:rtl w:val="0"/>
          </w:rPr>
          <w:t xml:space="preserve">https://doi.org/10.1016/j.desal.2016.02.024</w:t>
        </w:r>
      </w:hyperlink>
      <w:r w:rsidDel="00000000" w:rsidR="00000000" w:rsidRPr="00000000">
        <w:rPr>
          <w:rtl w:val="0"/>
        </w:rPr>
      </w:r>
    </w:p>
    <w:p w:rsidR="00000000" w:rsidDel="00000000" w:rsidP="00000000" w:rsidRDefault="00000000" w:rsidRPr="00000000" w14:paraId="000000B4">
      <w:pPr>
        <w:contextualSpacing w:val="0"/>
        <w:rPr>
          <w:sz w:val="21"/>
          <w:szCs w:val="21"/>
        </w:rPr>
      </w:pPr>
      <w:r w:rsidDel="00000000" w:rsidR="00000000" w:rsidRPr="00000000">
        <w:rPr>
          <w:rtl w:val="0"/>
        </w:rPr>
      </w:r>
    </w:p>
    <w:p w:rsidR="00000000" w:rsidDel="00000000" w:rsidP="00000000" w:rsidRDefault="00000000" w:rsidRPr="00000000" w14:paraId="000000B5">
      <w:pPr>
        <w:contextualSpacing w:val="0"/>
        <w:rPr>
          <w:sz w:val="21"/>
          <w:szCs w:val="21"/>
        </w:rPr>
      </w:pPr>
      <w:r w:rsidDel="00000000" w:rsidR="00000000" w:rsidRPr="00000000">
        <w:rPr>
          <w:sz w:val="21"/>
          <w:szCs w:val="21"/>
          <w:rtl w:val="0"/>
        </w:rPr>
        <w:t xml:space="preserve">Sharqawy, M. H., Lienhard V, J. H., Zubair, S. M. (2010). Thermophysical Properties of seawater: A review of existing correlations and data. Desalination and Water Treatment, 16, 354-380.</w:t>
      </w:r>
    </w:p>
    <w:p w:rsidR="00000000" w:rsidDel="00000000" w:rsidP="00000000" w:rsidRDefault="00000000" w:rsidRPr="00000000" w14:paraId="000000B6">
      <w:pPr>
        <w:contextualSpacing w:val="0"/>
        <w:rPr>
          <w:sz w:val="21"/>
          <w:szCs w:val="21"/>
        </w:rPr>
      </w:pPr>
      <w:hyperlink r:id="rId25">
        <w:r w:rsidDel="00000000" w:rsidR="00000000" w:rsidRPr="00000000">
          <w:rPr>
            <w:color w:val="1155cc"/>
            <w:sz w:val="21"/>
            <w:szCs w:val="21"/>
            <w:u w:val="single"/>
            <w:rtl w:val="0"/>
          </w:rPr>
          <w:t xml:space="preserve">http://web.mit.edu/lienhard/www/Thermophysical_properties_of_seawater-DWT-16-354-2010.pdf</w:t>
        </w:r>
      </w:hyperlink>
      <w:r w:rsidDel="00000000" w:rsidR="00000000" w:rsidRPr="00000000">
        <w:rPr>
          <w:rtl w:val="0"/>
        </w:rPr>
      </w:r>
    </w:p>
    <w:p w:rsidR="00000000" w:rsidDel="00000000" w:rsidP="00000000" w:rsidRDefault="00000000" w:rsidRPr="00000000" w14:paraId="000000B7">
      <w:pPr>
        <w:contextualSpacing w:val="0"/>
        <w:rPr>
          <w:sz w:val="21"/>
          <w:szCs w:val="21"/>
        </w:rPr>
      </w:pPr>
      <w:r w:rsidDel="00000000" w:rsidR="00000000" w:rsidRPr="00000000">
        <w:rPr>
          <w:rtl w:val="0"/>
        </w:rPr>
      </w:r>
    </w:p>
    <w:p w:rsidR="00000000" w:rsidDel="00000000" w:rsidP="00000000" w:rsidRDefault="00000000" w:rsidRPr="00000000" w14:paraId="000000B8">
      <w:pPr>
        <w:contextualSpacing w:val="0"/>
        <w:rPr>
          <w:sz w:val="21"/>
          <w:szCs w:val="21"/>
        </w:rPr>
      </w:pPr>
      <w:r w:rsidDel="00000000" w:rsidR="00000000" w:rsidRPr="00000000">
        <w:rPr>
          <w:sz w:val="21"/>
          <w:szCs w:val="21"/>
          <w:rtl w:val="0"/>
        </w:rPr>
        <w:t xml:space="preserve">Sicko-Goad, L., Stoermer, E. F., Ladewski, B. G., (1977). A Morphometric Method for Correcting Phytoplankton Cell Volume Estimates. Protoplasma 93, 147 - 163.</w:t>
      </w:r>
    </w:p>
    <w:p w:rsidR="00000000" w:rsidDel="00000000" w:rsidP="00000000" w:rsidRDefault="00000000" w:rsidRPr="00000000" w14:paraId="000000B9">
      <w:pPr>
        <w:contextualSpacing w:val="0"/>
        <w:rPr>
          <w:sz w:val="21"/>
          <w:szCs w:val="21"/>
        </w:rPr>
      </w:pPr>
      <w:r w:rsidDel="00000000" w:rsidR="00000000" w:rsidRPr="00000000">
        <w:rPr>
          <w:rtl w:val="0"/>
        </w:rPr>
      </w:r>
    </w:p>
    <w:p w:rsidR="00000000" w:rsidDel="00000000" w:rsidP="00000000" w:rsidRDefault="00000000" w:rsidRPr="00000000" w14:paraId="000000BA">
      <w:pPr>
        <w:contextualSpacing w:val="0"/>
        <w:rPr>
          <w:sz w:val="21"/>
          <w:szCs w:val="21"/>
        </w:rPr>
      </w:pPr>
      <w:r w:rsidDel="00000000" w:rsidR="00000000" w:rsidRPr="00000000">
        <w:rPr>
          <w:sz w:val="21"/>
          <w:szCs w:val="21"/>
          <w:rtl w:val="0"/>
        </w:rPr>
        <w:t xml:space="preserve">Siegel, D. A., Buesseler, K. O., Doney, S. C., Sailley, S. F., Behrenfeld, M. J., &amp; Boyd, P. W. (2014). Global assessment of ocean carbon export by combining satellite observations and food-web models. Global Biogeochemical Cycles, 28(3), 181–196. </w:t>
      </w:r>
      <w:hyperlink r:id="rId26">
        <w:r w:rsidDel="00000000" w:rsidR="00000000" w:rsidRPr="00000000">
          <w:rPr>
            <w:color w:val="1155cc"/>
            <w:sz w:val="21"/>
            <w:szCs w:val="21"/>
            <w:u w:val="single"/>
            <w:rtl w:val="0"/>
          </w:rPr>
          <w:t xml:space="preserve">https://doi.org/10.1002/2013gb004743</w:t>
        </w:r>
      </w:hyperlink>
      <w:r w:rsidDel="00000000" w:rsidR="00000000" w:rsidRPr="00000000">
        <w:rPr>
          <w:rtl w:val="0"/>
        </w:rPr>
      </w:r>
    </w:p>
    <w:p w:rsidR="00000000" w:rsidDel="00000000" w:rsidP="00000000" w:rsidRDefault="00000000" w:rsidRPr="00000000" w14:paraId="000000BB">
      <w:pPr>
        <w:contextualSpacing w:val="0"/>
        <w:rPr>
          <w:sz w:val="21"/>
          <w:szCs w:val="21"/>
        </w:rPr>
      </w:pPr>
      <w:r w:rsidDel="00000000" w:rsidR="00000000" w:rsidRPr="00000000">
        <w:rPr>
          <w:rtl w:val="0"/>
        </w:rPr>
      </w:r>
    </w:p>
    <w:p w:rsidR="00000000" w:rsidDel="00000000" w:rsidP="00000000" w:rsidRDefault="00000000" w:rsidRPr="00000000" w14:paraId="000000BC">
      <w:pPr>
        <w:contextualSpacing w:val="0"/>
        <w:rPr>
          <w:sz w:val="21"/>
          <w:szCs w:val="21"/>
        </w:rPr>
      </w:pPr>
      <w:r w:rsidDel="00000000" w:rsidR="00000000" w:rsidRPr="00000000">
        <w:rPr>
          <w:sz w:val="21"/>
          <w:szCs w:val="21"/>
          <w:rtl w:val="0"/>
        </w:rPr>
        <w:t xml:space="preserve">Smayda, T. J. 1970. The suspension and sinking of phytoplankton</w:t>
      </w:r>
    </w:p>
    <w:p w:rsidR="00000000" w:rsidDel="00000000" w:rsidP="00000000" w:rsidRDefault="00000000" w:rsidRPr="00000000" w14:paraId="000000BD">
      <w:pPr>
        <w:contextualSpacing w:val="0"/>
        <w:rPr>
          <w:b w:val="1"/>
          <w:sz w:val="28"/>
          <w:szCs w:val="28"/>
        </w:rPr>
      </w:pPr>
      <w:r w:rsidDel="00000000" w:rsidR="00000000" w:rsidRPr="00000000">
        <w:rPr>
          <w:sz w:val="21"/>
          <w:szCs w:val="21"/>
          <w:rtl w:val="0"/>
        </w:rPr>
        <w:t xml:space="preserve">in the sea. Oceanogr. Mar. Biol.: Ann. Rev. 8: 353–414.</w:t>
      </w:r>
      <w:r w:rsidDel="00000000" w:rsidR="00000000" w:rsidRPr="00000000">
        <w:rPr>
          <w:rtl w:val="0"/>
        </w:rPr>
      </w:r>
    </w:p>
    <w:sectPr>
      <w:headerReference r:id="rId27" w:type="default"/>
      <w:headerReference r:id="rId28" w:type="first"/>
      <w:footerReference r:id="rId2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b w:val="1"/>
        <w:sz w:val="28"/>
        <w:szCs w:val="28"/>
      </w:rPr>
    </w:pPr>
    <w:r w:rsidDel="00000000" w:rsidR="00000000" w:rsidRPr="00000000">
      <w:rPr>
        <w:b w:val="1"/>
        <w:sz w:val="28"/>
        <w:szCs w:val="28"/>
        <w:rtl w:val="0"/>
      </w:rPr>
      <w:t xml:space="preserve">Satellite estimates of marine particle sinking speed and particulate organic carbon export</w:t>
    </w:r>
  </w:p>
  <w:p w:rsidR="00000000" w:rsidDel="00000000" w:rsidP="00000000" w:rsidRDefault="00000000" w:rsidRPr="00000000" w14:paraId="000000C6">
    <w:pPr>
      <w:contextualSpacing w:val="0"/>
      <w:rPr>
        <w:b w:val="1"/>
        <w:sz w:val="24"/>
        <w:szCs w:val="24"/>
      </w:rPr>
    </w:pPr>
    <w:r w:rsidDel="00000000" w:rsidR="00000000" w:rsidRPr="00000000">
      <w:rPr>
        <w:rtl w:val="0"/>
      </w:rPr>
    </w:r>
  </w:p>
  <w:p w:rsidR="00000000" w:rsidDel="00000000" w:rsidP="00000000" w:rsidRDefault="00000000" w:rsidRPr="00000000" w14:paraId="000000C7">
    <w:pPr>
      <w:contextualSpacing w:val="0"/>
      <w:rPr>
        <w:b w:val="1"/>
        <w:sz w:val="24"/>
        <w:szCs w:val="24"/>
      </w:rPr>
    </w:pPr>
    <w:r w:rsidDel="00000000" w:rsidR="00000000" w:rsidRPr="00000000">
      <w:rPr>
        <w:b w:val="1"/>
        <w:sz w:val="24"/>
        <w:szCs w:val="24"/>
        <w:rtl w:val="0"/>
      </w:rPr>
      <w:t xml:space="preserve">Henry Sue, Greg L. Britten, Francois Primeau</w:t>
    </w:r>
  </w:p>
  <w:p w:rsidR="00000000" w:rsidDel="00000000" w:rsidP="00000000" w:rsidRDefault="00000000" w:rsidRPr="00000000" w14:paraId="000000C8">
    <w:pPr>
      <w:contextualSpacing w:val="0"/>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29/2004gb002390" TargetMode="External"/><Relationship Id="rId22" Type="http://schemas.openxmlformats.org/officeDocument/2006/relationships/hyperlink" Target="https://doi.org/10.1594/pangaea.859005" TargetMode="External"/><Relationship Id="rId21" Type="http://schemas.openxmlformats.org/officeDocument/2006/relationships/hyperlink" Target="https://doi.org/10.1029/2009jc005303" TargetMode="External"/><Relationship Id="rId24" Type="http://schemas.openxmlformats.org/officeDocument/2006/relationships/hyperlink" Target="https://doi.org/10.1016/j.desal.2016.02.024" TargetMode="External"/><Relationship Id="rId23" Type="http://schemas.openxmlformats.org/officeDocument/2006/relationships/hyperlink" Target="https://doi.org/10.4319/lo.2010.55.6.25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hyperlink" Target="https://doi.org/10.1002/2013gb004743" TargetMode="External"/><Relationship Id="rId25" Type="http://schemas.openxmlformats.org/officeDocument/2006/relationships/hyperlink" Target="http://web.mit.edu/lienhard/www/Thermophysical_properties_of_seawater-DWT-16-354-2010.pdf"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footer" Target="footer1.xml"/><Relationship Id="rId7" Type="http://schemas.openxmlformats.org/officeDocument/2006/relationships/image" Target="media/image23.png"/><Relationship Id="rId8" Type="http://schemas.openxmlformats.org/officeDocument/2006/relationships/image" Target="media/image7.png"/><Relationship Id="rId11" Type="http://schemas.openxmlformats.org/officeDocument/2006/relationships/image" Target="media/image20.png"/><Relationship Id="rId10" Type="http://schemas.openxmlformats.org/officeDocument/2006/relationships/image" Target="media/image24.png"/><Relationship Id="rId13" Type="http://schemas.openxmlformats.org/officeDocument/2006/relationships/image" Target="media/image22.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hyperlink" Target="https://doi.org/10.5194/bgd-2-275-2005" TargetMode="External"/><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