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sz w:val="24"/>
          <w:szCs w:val="24"/>
          <w:u w:val="none"/>
        </w:rPr>
      </w:pPr>
      <w:hyperlink w:anchor="kyy5gi7qupo">
        <w:r w:rsidDel="00000000" w:rsidR="00000000" w:rsidRPr="00000000">
          <w:rPr>
            <w:color w:val="1155cc"/>
            <w:sz w:val="24"/>
            <w:szCs w:val="24"/>
            <w:u w:val="single"/>
            <w:rtl w:val="0"/>
          </w:rPr>
          <w:t xml:space="preserve">Abstract </w:t>
        </w:r>
      </w:hyperlink>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sz w:val="24"/>
          <w:szCs w:val="24"/>
          <w:u w:val="none"/>
        </w:rPr>
      </w:pPr>
      <w:hyperlink w:anchor="dqo96q10zrvd">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u w:val="none"/>
        </w:rPr>
      </w:pPr>
      <w:hyperlink w:anchor="p9g949x9x7ho">
        <w:r w:rsidDel="00000000" w:rsidR="00000000" w:rsidRPr="00000000">
          <w:rPr>
            <w:color w:val="1155cc"/>
            <w:sz w:val="24"/>
            <w:szCs w:val="24"/>
            <w:u w:val="single"/>
            <w:rtl w:val="0"/>
          </w:rPr>
          <w:t xml:space="preserve">Carbon Flux and Its Importance</w:t>
        </w:r>
      </w:hyperlink>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u w:val="none"/>
        </w:rPr>
      </w:pPr>
      <w:hyperlink w:anchor="jrslitwa3jx9">
        <w:r w:rsidDel="00000000" w:rsidR="00000000" w:rsidRPr="00000000">
          <w:rPr>
            <w:color w:val="1155cc"/>
            <w:sz w:val="24"/>
            <w:szCs w:val="24"/>
            <w:u w:val="single"/>
            <w:rtl w:val="0"/>
          </w:rPr>
          <w:t xml:space="preserve">Stokes Law and Predicting Sinking Speeds</w:t>
        </w:r>
      </w:hyperlink>
      <w:r w:rsidDel="00000000" w:rsidR="00000000" w:rsidRPr="00000000">
        <w:rPr>
          <w:sz w:val="24"/>
          <w:szCs w:val="24"/>
          <w:rtl w:val="0"/>
        </w:rPr>
        <w:br w:type="textWrapping"/>
      </w:r>
      <w:r w:rsidDel="00000000" w:rsidR="00000000" w:rsidRPr="00000000">
        <w:rPr>
          <w:sz w:val="24"/>
          <w:szCs w:val="24"/>
          <w:rtl w:val="0"/>
        </w:rPr>
        <w:t xml:space="preserve">A. </w:t>
      </w:r>
      <w:hyperlink w:anchor="a47scdo2lfj6">
        <w:r w:rsidDel="00000000" w:rsidR="00000000" w:rsidRPr="00000000">
          <w:rPr>
            <w:color w:val="1155cc"/>
            <w:sz w:val="24"/>
            <w:szCs w:val="24"/>
            <w:u w:val="single"/>
            <w:rtl w:val="0"/>
          </w:rPr>
          <w:t xml:space="preserve">Global Maps of Important Environmental Variables that are measured by satellite (T, S, μ)</w:t>
        </w:r>
      </w:hyperlink>
      <w:r w:rsidDel="00000000" w:rsidR="00000000" w:rsidRPr="00000000">
        <w:rPr>
          <w:sz w:val="24"/>
          <w:szCs w:val="24"/>
          <w:rtl w:val="0"/>
        </w:rPr>
        <w:br w:type="textWrapping"/>
        <w:t xml:space="preserve">B.</w:t>
      </w:r>
      <w:hyperlink w:anchor="z3v4e2yekvve">
        <w:r w:rsidDel="00000000" w:rsidR="00000000" w:rsidRPr="00000000">
          <w:rPr>
            <w:color w:val="1155cc"/>
            <w:sz w:val="24"/>
            <w:szCs w:val="24"/>
            <w:u w:val="single"/>
            <w:rtl w:val="0"/>
          </w:rPr>
          <w:t xml:space="preserve"> Particle Size and Sinking Speed Estimates</w:t>
        </w:r>
      </w:hyperlink>
      <w:r w:rsidDel="00000000" w:rsidR="00000000" w:rsidRPr="00000000">
        <w:rPr>
          <w:sz w:val="24"/>
          <w:szCs w:val="24"/>
          <w:rtl w:val="0"/>
        </w:rPr>
        <w:br w:type="textWrapping"/>
        <w:t xml:space="preserve">C. </w:t>
      </w:r>
      <w:hyperlink w:anchor="zax6grz95tsi">
        <w:r w:rsidDel="00000000" w:rsidR="00000000" w:rsidRPr="00000000">
          <w:rPr>
            <w:color w:val="1155cc"/>
            <w:sz w:val="24"/>
            <w:szCs w:val="24"/>
            <w:u w:val="single"/>
            <w:rtl w:val="0"/>
          </w:rPr>
          <w:t xml:space="preserve">Particle Size Distribution and Global Carbon Flux Estimates </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4"/>
          <w:szCs w:val="24"/>
          <w:u w:val="none"/>
        </w:rPr>
      </w:pPr>
      <w:hyperlink w:anchor="extbb7a1xyur">
        <w:r w:rsidDel="00000000" w:rsidR="00000000" w:rsidRPr="00000000">
          <w:rPr>
            <w:color w:val="1155cc"/>
            <w:sz w:val="24"/>
            <w:szCs w:val="24"/>
            <w:u w:val="single"/>
            <w:rtl w:val="0"/>
          </w:rPr>
          <w:t xml:space="preserve">Sediment Trap Data</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z w:val="24"/>
          <w:szCs w:val="24"/>
          <w:u w:val="none"/>
        </w:rPr>
      </w:pPr>
      <w:hyperlink w:anchor="kjcan14xqtkx">
        <w:r w:rsidDel="00000000" w:rsidR="00000000" w:rsidRPr="00000000">
          <w:rPr>
            <w:color w:val="1155cc"/>
            <w:sz w:val="24"/>
            <w:szCs w:val="24"/>
            <w:u w:val="single"/>
            <w:rtl w:val="0"/>
          </w:rPr>
          <w:t xml:space="preserve">Comparisons Between Data</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sz w:val="24"/>
          <w:szCs w:val="24"/>
          <w:u w:val="none"/>
        </w:rPr>
      </w:pPr>
      <w:hyperlink w:anchor="sjxgn5shaqpv">
        <w:r w:rsidDel="00000000" w:rsidR="00000000" w:rsidRPr="00000000">
          <w:rPr>
            <w:color w:val="1155cc"/>
            <w:sz w:val="24"/>
            <w:szCs w:val="24"/>
            <w:u w:val="single"/>
            <w:rtl w:val="0"/>
          </w:rPr>
          <w:t xml:space="preserve">Discussion</w:t>
        </w:r>
      </w:hyperlink>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sz w:val="24"/>
          <w:szCs w:val="24"/>
          <w:u w:val="none"/>
        </w:rPr>
      </w:pPr>
      <w:hyperlink w:anchor="6r88flfd554k">
        <w:r w:rsidDel="00000000" w:rsidR="00000000" w:rsidRPr="00000000">
          <w:rPr>
            <w:color w:val="1155cc"/>
            <w:sz w:val="24"/>
            <w:szCs w:val="24"/>
            <w:u w:val="single"/>
            <w:rtl w:val="0"/>
          </w:rPr>
          <w:t xml:space="preserve">Citations</w:t>
        </w:r>
      </w:hyperlink>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bookmarkStart w:colFirst="0" w:colLast="0" w:name="kyy5gi7qupo" w:id="0"/>
    <w:bookmarkEnd w:id="0"/>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contextualSpacing w:val="0"/>
        <w:rPr>
          <w:color w:val="b7b7b7"/>
          <w:sz w:val="24"/>
          <w:szCs w:val="24"/>
        </w:rPr>
      </w:pPr>
      <w:r w:rsidDel="00000000" w:rsidR="00000000" w:rsidRPr="00000000">
        <w:rPr>
          <w:color w:val="b7b7b7"/>
          <w:sz w:val="24"/>
          <w:szCs w:val="24"/>
          <w:rtl w:val="0"/>
        </w:rPr>
        <w:t xml:space="preserve">The abstract will outline the essential topics of the thesis and condense it into a short and digestible package.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bookmarkStart w:colFirst="0" w:colLast="0" w:name="dqo96q10zrvd" w:id="1"/>
    <w:bookmarkEnd w:id="1"/>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7">
      <w:pPr>
        <w:contextualSpacing w:val="0"/>
        <w:rPr>
          <w:color w:val="b7b7b7"/>
          <w:sz w:val="24"/>
          <w:szCs w:val="24"/>
        </w:rPr>
      </w:pPr>
      <w:r w:rsidDel="00000000" w:rsidR="00000000" w:rsidRPr="00000000">
        <w:rPr>
          <w:color w:val="b7b7b7"/>
          <w:sz w:val="24"/>
          <w:szCs w:val="24"/>
          <w:rtl w:val="0"/>
        </w:rPr>
        <w:t xml:space="preserve">The introduction will give background to the paper, reference relevant papers (Kostadinov et. al 2009, 2016, MIT Seawater Papers, Mouw Dataset), as well as stating the main points of the thesis: The mathematical concepts of Stokes Law (force balance between gravity and the friction of the fluid), satellite data and its resulting plots, comparisons sediment trap data. It will also outline the general structure for the paper.</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rtl w:val="0"/>
        </w:rPr>
      </w:r>
    </w:p>
    <w:bookmarkStart w:colFirst="0" w:colLast="0" w:name="p9g949x9x7ho" w:id="2"/>
    <w:bookmarkEnd w:id="2"/>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Carbon Flux and Its Importance</w:t>
      </w:r>
    </w:p>
    <w:p w:rsidR="00000000" w:rsidDel="00000000" w:rsidP="00000000" w:rsidRDefault="00000000" w:rsidRPr="00000000" w14:paraId="00000020">
      <w:pPr>
        <w:ind w:firstLine="720"/>
        <w:contextualSpacing w:val="0"/>
        <w:rPr>
          <w:sz w:val="24"/>
          <w:szCs w:val="24"/>
        </w:rPr>
      </w:pPr>
      <w:r w:rsidDel="00000000" w:rsidR="00000000" w:rsidRPr="00000000">
        <w:rPr>
          <w:sz w:val="24"/>
          <w:szCs w:val="24"/>
          <w:rtl w:val="0"/>
        </w:rPr>
        <w:t xml:space="preserve">Carbon is exchanged between many systems throughout the world. A prominent form of Carbon that is exchanged between many ecosystems is CO</w:t>
      </w:r>
      <w:r w:rsidDel="00000000" w:rsidR="00000000" w:rsidRPr="00000000">
        <w:rPr>
          <w:sz w:val="24"/>
          <w:szCs w:val="24"/>
          <w:vertAlign w:val="subscript"/>
          <w:rtl w:val="0"/>
        </w:rPr>
        <w:t xml:space="preserve">2</w:t>
      </w:r>
      <w:r w:rsidDel="00000000" w:rsidR="00000000" w:rsidRPr="00000000">
        <w:rPr>
          <w:sz w:val="24"/>
          <w:szCs w:val="24"/>
          <w:rtl w:val="0"/>
        </w:rPr>
        <w:t xml:space="preserve">. CO</w:t>
      </w:r>
      <w:r w:rsidDel="00000000" w:rsidR="00000000" w:rsidRPr="00000000">
        <w:rPr>
          <w:sz w:val="24"/>
          <w:szCs w:val="24"/>
          <w:vertAlign w:val="subscript"/>
          <w:rtl w:val="0"/>
        </w:rPr>
        <w:t xml:space="preserve">2</w:t>
      </w:r>
      <w:r w:rsidDel="00000000" w:rsidR="00000000" w:rsidRPr="00000000">
        <w:rPr>
          <w:sz w:val="24"/>
          <w:szCs w:val="24"/>
          <w:rtl w:val="0"/>
        </w:rPr>
        <w:t xml:space="preserve"> is important to study because it is fixed by phytoplankton at the ocean surface into biomass.</w:t>
      </w:r>
      <w:r w:rsidDel="00000000" w:rsidR="00000000" w:rsidRPr="00000000">
        <w:rPr>
          <w:sz w:val="24"/>
          <w:szCs w:val="24"/>
          <w:rtl w:val="0"/>
        </w:rPr>
        <w:t xml:space="preserve"> Plankton sink from the surface mixed layer into the deeper ocean. The so-called “biological pump” serves as a method for the sequestration of atmospheric carbon into the deep ocean. Estimating carbon export within the ocean is difficult, with some studies predicting approximately 6 Petagrams of carbon yearly exported from the euphotic zone (Siegel et al 2014). Furthermore, sediment trap data about phytoplankton sinking speeds is sparse in space and time. Satellite data offers superior spatial and repetitive coverage, which motivates the creation of models that can estimate carbon export from satellite data.</w:t>
      </w:r>
    </w:p>
    <w:p w:rsidR="00000000" w:rsidDel="00000000" w:rsidP="00000000" w:rsidRDefault="00000000" w:rsidRPr="00000000" w14:paraId="00000021">
      <w:pPr>
        <w:ind w:firstLine="720"/>
        <w:contextualSpacing w:val="0"/>
        <w:rPr>
          <w:sz w:val="24"/>
          <w:szCs w:val="24"/>
        </w:rPr>
      </w:pPr>
      <w:r w:rsidDel="00000000" w:rsidR="00000000" w:rsidRPr="00000000">
        <w:rPr>
          <w:rtl w:val="0"/>
        </w:rPr>
      </w:r>
    </w:p>
    <w:p w:rsidR="00000000" w:rsidDel="00000000" w:rsidP="00000000" w:rsidRDefault="00000000" w:rsidRPr="00000000" w14:paraId="00000022">
      <w:pPr>
        <w:ind w:firstLine="720"/>
        <w:contextualSpacing w:val="0"/>
        <w:rPr>
          <w:sz w:val="24"/>
          <w:szCs w:val="24"/>
        </w:rPr>
      </w:pPr>
      <w:r w:rsidDel="00000000" w:rsidR="00000000" w:rsidRPr="00000000">
        <w:rPr>
          <w:rtl w:val="0"/>
        </w:rPr>
      </w:r>
    </w:p>
    <w:p w:rsidR="00000000" w:rsidDel="00000000" w:rsidP="00000000" w:rsidRDefault="00000000" w:rsidRPr="00000000" w14:paraId="00000023">
      <w:pPr>
        <w:ind w:firstLine="720"/>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rtl w:val="0"/>
        </w:rPr>
      </w:r>
    </w:p>
    <w:bookmarkStart w:colFirst="0" w:colLast="0" w:name="jrslitwa3jx9" w:id="3"/>
    <w:bookmarkEnd w:id="3"/>
    <w:p w:rsidR="00000000" w:rsidDel="00000000" w:rsidP="00000000" w:rsidRDefault="00000000" w:rsidRPr="00000000" w14:paraId="0000003B">
      <w:pPr>
        <w:contextualSpacing w:val="0"/>
        <w:rPr>
          <w:b w:val="1"/>
          <w:sz w:val="24"/>
          <w:szCs w:val="24"/>
        </w:rPr>
      </w:pPr>
      <w:r w:rsidDel="00000000" w:rsidR="00000000" w:rsidRPr="00000000">
        <w:rPr>
          <w:b w:val="1"/>
          <w:sz w:val="24"/>
          <w:szCs w:val="24"/>
          <w:rtl w:val="0"/>
        </w:rPr>
        <w:t xml:space="preserve">Stokes Law and Predicting Sinking Speeds</w:t>
      </w:r>
    </w:p>
    <w:p w:rsidR="00000000" w:rsidDel="00000000" w:rsidP="00000000" w:rsidRDefault="00000000" w:rsidRPr="00000000" w14:paraId="0000003C">
      <w:pPr>
        <w:ind w:firstLine="720"/>
        <w:contextualSpacing w:val="0"/>
        <w:rPr>
          <w:sz w:val="24"/>
          <w:szCs w:val="24"/>
        </w:rPr>
      </w:pPr>
      <w:r w:rsidDel="00000000" w:rsidR="00000000" w:rsidRPr="00000000">
        <w:rPr>
          <w:sz w:val="24"/>
          <w:szCs w:val="24"/>
          <w:rtl w:val="0"/>
        </w:rPr>
        <w:t xml:space="preserve">Sinking speeds of phytoplankton are often estimated by Stokes’ law, which predicts sinking velocities that scale by an exponent of 2 in relation to its radius. Sinking plankton particles satisfy the prerequisites of Stokes’ Law, as they are small, slow moving spherical objects that move slowly in relation to its outside medium. Using A newer model predicts that diatoms, which synthesize approximately half of the ocean’s fixed carbon (Nelson et al 1995; Field et al 1998, cited within Miklasz et al 2010), may follow a more complex extended Stokes Law that accounts for the differing densities of diatomic components (Miklasz and Denny 2010).</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ab/>
        <w:t xml:space="preserve">The classic stokes model predicts that a sinking particle’s speed (U) is:</w:t>
      </w:r>
    </w:p>
    <w:p w:rsidR="00000000" w:rsidDel="00000000" w:rsidP="00000000" w:rsidRDefault="00000000" w:rsidRPr="00000000" w14:paraId="0000003F">
      <w:pPr>
        <w:contextualSpacing w:val="0"/>
        <w:jc w:val="center"/>
        <w:rPr>
          <w:sz w:val="24"/>
          <w:szCs w:val="24"/>
        </w:rPr>
      </w:pPr>
      <w:r w:rsidDel="00000000" w:rsidR="00000000" w:rsidRPr="00000000">
        <w:rPr>
          <w:sz w:val="24"/>
          <w:szCs w:val="24"/>
        </w:rPr>
        <w:drawing>
          <wp:inline distB="114300" distT="114300" distL="114300" distR="114300">
            <wp:extent cx="2019300" cy="838200"/>
            <wp:effectExtent b="0" l="0" r="0" t="0"/>
            <wp:docPr id="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019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Where ρ</w:t>
      </w:r>
      <w:r w:rsidDel="00000000" w:rsidR="00000000" w:rsidRPr="00000000">
        <w:rPr>
          <w:sz w:val="24"/>
          <w:szCs w:val="24"/>
          <w:vertAlign w:val="subscript"/>
          <w:rtl w:val="0"/>
        </w:rPr>
        <w:t xml:space="preserve">tot</w:t>
      </w:r>
      <w:r w:rsidDel="00000000" w:rsidR="00000000" w:rsidRPr="00000000">
        <w:rPr>
          <w:sz w:val="24"/>
          <w:szCs w:val="24"/>
          <w:rtl w:val="0"/>
        </w:rPr>
        <w:t xml:space="preserve"> is the density of the particle, ρ</w:t>
      </w:r>
      <w:r w:rsidDel="00000000" w:rsidR="00000000" w:rsidRPr="00000000">
        <w:rPr>
          <w:sz w:val="24"/>
          <w:szCs w:val="24"/>
          <w:vertAlign w:val="subscript"/>
          <w:rtl w:val="0"/>
        </w:rPr>
        <w:t xml:space="preserve">w</w:t>
      </w:r>
      <w:r w:rsidDel="00000000" w:rsidR="00000000" w:rsidRPr="00000000">
        <w:rPr>
          <w:sz w:val="24"/>
          <w:szCs w:val="24"/>
          <w:rtl w:val="0"/>
        </w:rPr>
        <w:t xml:space="preserve"> is the density of the surrounding liquid (in this case water), r is the radius of the particle, g is the constant of gravitational acceleration (9.8 m s</w:t>
      </w:r>
      <w:r w:rsidDel="00000000" w:rsidR="00000000" w:rsidRPr="00000000">
        <w:rPr>
          <w:sz w:val="24"/>
          <w:szCs w:val="24"/>
          <w:vertAlign w:val="superscript"/>
          <w:rtl w:val="0"/>
        </w:rPr>
        <w:t xml:space="preserve">-2</w:t>
      </w:r>
      <w:r w:rsidDel="00000000" w:rsidR="00000000" w:rsidRPr="00000000">
        <w:rPr>
          <w:sz w:val="24"/>
          <w:szCs w:val="24"/>
          <w:rtl w:val="0"/>
        </w:rPr>
        <w:t xml:space="preserve">), and μ is the dynamic viscosity of surrounding liquid (water).The extended model presented by Miklasz and Denny (2010) assumes constants of ρ</w:t>
      </w:r>
      <w:r w:rsidDel="00000000" w:rsidR="00000000" w:rsidRPr="00000000">
        <w:rPr>
          <w:sz w:val="24"/>
          <w:szCs w:val="24"/>
          <w:vertAlign w:val="subscript"/>
          <w:rtl w:val="0"/>
        </w:rPr>
        <w:t xml:space="preserve">w</w:t>
      </w:r>
      <w:r w:rsidDel="00000000" w:rsidR="00000000" w:rsidRPr="00000000">
        <w:rPr>
          <w:sz w:val="24"/>
          <w:szCs w:val="24"/>
          <w:rtl w:val="0"/>
        </w:rPr>
        <w:t xml:space="preserve"> = </w:t>
      </w:r>
      <w:r w:rsidDel="00000000" w:rsidR="00000000" w:rsidRPr="00000000">
        <w:rPr>
          <w:sz w:val="24"/>
          <w:szCs w:val="24"/>
          <w:rtl w:val="0"/>
        </w:rPr>
        <w:t xml:space="preserve">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and μ = 1.07 x 10</w:t>
      </w:r>
      <w:r w:rsidDel="00000000" w:rsidR="00000000" w:rsidRPr="00000000">
        <w:rPr>
          <w:sz w:val="24"/>
          <w:szCs w:val="24"/>
          <w:vertAlign w:val="superscript"/>
          <w:rtl w:val="0"/>
        </w:rPr>
        <w:t xml:space="preserve">-3</w:t>
      </w:r>
      <w:r w:rsidDel="00000000" w:rsidR="00000000" w:rsidRPr="00000000">
        <w:rPr>
          <w:sz w:val="24"/>
          <w:szCs w:val="24"/>
          <w:rtl w:val="0"/>
        </w:rPr>
        <w:t xml:space="preserve"> Pa s, which represents the density and dynamic viscosity of water at 20°C and 33 g L</w:t>
      </w:r>
      <w:r w:rsidDel="00000000" w:rsidR="00000000" w:rsidRPr="00000000">
        <w:rPr>
          <w:sz w:val="24"/>
          <w:szCs w:val="24"/>
          <w:vertAlign w:val="superscript"/>
          <w:rtl w:val="0"/>
        </w:rPr>
        <w:t xml:space="preserve">-1</w:t>
      </w:r>
      <w:r w:rsidDel="00000000" w:rsidR="00000000" w:rsidRPr="00000000">
        <w:rPr>
          <w:sz w:val="24"/>
          <w:szCs w:val="24"/>
          <w:rtl w:val="0"/>
        </w:rPr>
        <w:t xml:space="preserve"> salinity, respectively. Stokes’ law holds up for particles with small Reynolds numbers (Re &lt; 1), which encompasses all particles mentioned in this paper. Since both dynamic viscosity and water’s density varies with temperature and salinity, it is important to consider both variables within our calculation. However, because the range at which water’s density varies with respect to temperature and salinity differences is so small, we can safely assume water to have a constant density of ρ</w:t>
      </w:r>
      <w:r w:rsidDel="00000000" w:rsidR="00000000" w:rsidRPr="00000000">
        <w:rPr>
          <w:sz w:val="24"/>
          <w:szCs w:val="24"/>
          <w:vertAlign w:val="subscript"/>
          <w:rtl w:val="0"/>
        </w:rPr>
        <w:t xml:space="preserve">w</w:t>
      </w:r>
      <w:r w:rsidDel="00000000" w:rsidR="00000000" w:rsidRPr="00000000">
        <w:rPr>
          <w:rFonts w:ascii="Arial Unicode MS" w:cs="Arial Unicode MS" w:eastAsia="Arial Unicode MS" w:hAnsi="Arial Unicode MS"/>
          <w:sz w:val="24"/>
          <w:szCs w:val="24"/>
          <w:rtl w:val="0"/>
        </w:rPr>
        <w:t xml:space="preserve"> ≈ 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Since dynamic viscosity is a large factor in this equation </w:t>
      </w:r>
      <w:r w:rsidDel="00000000" w:rsidR="00000000" w:rsidRPr="00000000">
        <w:rPr>
          <w:color w:val="ff0000"/>
          <w:sz w:val="24"/>
          <w:szCs w:val="24"/>
          <w:rtl w:val="0"/>
        </w:rPr>
        <w:t xml:space="preserve">(</w:t>
      </w:r>
      <w:r w:rsidDel="00000000" w:rsidR="00000000" w:rsidRPr="00000000">
        <w:rPr>
          <w:i w:val="1"/>
          <w:color w:val="ff0000"/>
          <w:sz w:val="24"/>
          <w:szCs w:val="24"/>
          <w:rtl w:val="0"/>
        </w:rPr>
        <w:t xml:space="preserve">need to write state why</w:t>
      </w:r>
      <w:r w:rsidDel="00000000" w:rsidR="00000000" w:rsidRPr="00000000">
        <w:rPr>
          <w:color w:val="ff0000"/>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 we include the variation of dynamic viscosity within our calculation. In order to calculate the change in dynamic viscosity, we use a seawater toolbox that estimates dynamic viscosity of seawater given temperature and salinity (Sharqawy et al 2010). </w:t>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b w:val="1"/>
          <w:sz w:val="24"/>
          <w:szCs w:val="24"/>
        </w:rPr>
        <w:drawing>
          <wp:inline distB="114300" distT="114300" distL="114300" distR="114300">
            <wp:extent cx="5943600" cy="2924175"/>
            <wp:effectExtent b="0" l="0" r="0" t="0"/>
            <wp:docPr id="11" name="image23.png"/>
            <a:graphic>
              <a:graphicData uri="http://schemas.openxmlformats.org/drawingml/2006/picture">
                <pic:pic>
                  <pic:nvPicPr>
                    <pic:cNvPr id="0" name="image23.png"/>
                    <pic:cNvPicPr preferRelativeResize="0"/>
                  </pic:nvPicPr>
                  <pic:blipFill>
                    <a:blip r:embed="rId7"/>
                    <a:srcRect b="18997" l="0" r="0" t="1691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Variation in Dynamic Viscosity of Seawater (μ). Viscosity is plotted against temperature, while holding salinity constant at 35 kg m</w:t>
      </w:r>
      <w:r w:rsidDel="00000000" w:rsidR="00000000" w:rsidRPr="00000000">
        <w:rPr>
          <w:sz w:val="20"/>
          <w:szCs w:val="20"/>
          <w:vertAlign w:val="superscript"/>
          <w:rtl w:val="0"/>
        </w:rPr>
        <w:t xml:space="preserve">-3</w:t>
      </w:r>
      <w:r w:rsidDel="00000000" w:rsidR="00000000" w:rsidRPr="00000000">
        <w:rPr>
          <w:sz w:val="20"/>
          <w:szCs w:val="20"/>
          <w:rtl w:val="0"/>
        </w:rPr>
        <w:t xml:space="preserve"> (left). Viscosity is also plotted against salinity, while holding temperature constant at 20</w:t>
      </w:r>
      <w:r w:rsidDel="00000000" w:rsidR="00000000" w:rsidRPr="00000000">
        <w:rPr>
          <w:sz w:val="20"/>
          <w:szCs w:val="20"/>
          <w:vertAlign w:val="superscript"/>
          <w:rtl w:val="0"/>
        </w:rPr>
        <w:t xml:space="preserve">o</w:t>
      </w:r>
      <w:r w:rsidDel="00000000" w:rsidR="00000000" w:rsidRPr="00000000">
        <w:rPr>
          <w:sz w:val="20"/>
          <w:szCs w:val="20"/>
          <w:rtl w:val="0"/>
        </w:rPr>
        <w:t xml:space="preserve">C (right). Over the normal range of each variable, the change in viscosity is dominated by the effect of Temperature.</w:t>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(viscosityplot.m)</w:t>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Pr>
        <w:drawing>
          <wp:inline distB="114300" distT="114300" distL="114300" distR="114300">
            <wp:extent cx="5943600" cy="4635500"/>
            <wp:effectExtent b="0" l="0" r="0" t="0"/>
            <wp:docPr id="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sz w:val="20"/>
          <w:szCs w:val="20"/>
        </w:rPr>
      </w:pPr>
      <w:r w:rsidDel="00000000" w:rsidR="00000000" w:rsidRPr="00000000">
        <w:rPr>
          <w:b w:val="1"/>
          <w:sz w:val="20"/>
          <w:szCs w:val="20"/>
          <w:rtl w:val="0"/>
        </w:rPr>
        <w:t xml:space="preserve">Figure 2: </w:t>
      </w:r>
      <w:r w:rsidDel="00000000" w:rsidR="00000000" w:rsidRPr="00000000">
        <w:rPr>
          <w:sz w:val="20"/>
          <w:szCs w:val="20"/>
          <w:rtl w:val="0"/>
        </w:rPr>
        <w:t xml:space="preserve">Sinking speed (U) in meters per day, calculated by Stokes’ Law. Hypothetical radius values of r = 2 μm (dashed), r = 10 μm (solid), and r = 20 μm (dot / dash) are displayed.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≤35</w:t>
      </w:r>
      <w:r w:rsidDel="00000000" w:rsidR="00000000" w:rsidRPr="00000000">
        <w:rPr>
          <w:sz w:val="20"/>
          <w:szCs w:val="20"/>
          <w:vertAlign w:val="superscript"/>
          <w:rtl w:val="0"/>
        </w:rPr>
        <w:t xml:space="preserve">o</w:t>
      </w:r>
      <w:r w:rsidDel="00000000" w:rsidR="00000000" w:rsidRPr="00000000">
        <w:rPr>
          <w:sz w:val="20"/>
          <w:szCs w:val="20"/>
          <w:rtl w:val="0"/>
        </w:rPr>
        <w:t xml:space="preserve">C, Salinity S = 35 ppt</w:t>
      </w:r>
      <w:r w:rsidDel="00000000" w:rsidR="00000000" w:rsidRPr="00000000">
        <w:rPr>
          <w:rFonts w:ascii="Arial Unicode MS" w:cs="Arial Unicode MS" w:eastAsia="Arial Unicode MS" w:hAnsi="Arial Unicode MS"/>
          <w:sz w:val="20"/>
          <w:szCs w:val="20"/>
          <w:rtl w:val="0"/>
        </w:rPr>
        <w:t xml:space="preserve">, total cell density ⍴</w:t>
      </w:r>
      <w:r w:rsidDel="00000000" w:rsidR="00000000" w:rsidRPr="00000000">
        <w:rPr>
          <w:sz w:val="20"/>
          <w:szCs w:val="20"/>
          <w:vertAlign w:val="subscript"/>
          <w:rtl w:val="0"/>
        </w:rPr>
        <w:t xml:space="preserve">tot</w:t>
      </w:r>
      <w:r w:rsidDel="00000000" w:rsidR="00000000" w:rsidRPr="00000000">
        <w:rPr>
          <w:sz w:val="20"/>
          <w:szCs w:val="20"/>
          <w:rtl w:val="0"/>
        </w:rPr>
        <w:t xml:space="preserve"> =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b w:val="1"/>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rtl w:val="0"/>
        </w:rPr>
      </w:r>
    </w:p>
    <w:p w:rsidR="00000000" w:rsidDel="00000000" w:rsidP="00000000" w:rsidRDefault="00000000" w:rsidRPr="00000000" w14:paraId="00000052">
      <w:pPr>
        <w:contextualSpacing w:val="0"/>
        <w:rPr>
          <w:b w:val="1"/>
          <w:sz w:val="24"/>
          <w:szCs w:val="24"/>
        </w:rPr>
      </w:pPr>
      <w:r w:rsidDel="00000000" w:rsidR="00000000" w:rsidRPr="00000000">
        <w:rPr>
          <w:rtl w:val="0"/>
        </w:rPr>
      </w:r>
    </w:p>
    <w:p w:rsidR="00000000" w:rsidDel="00000000" w:rsidP="00000000" w:rsidRDefault="00000000" w:rsidRPr="00000000" w14:paraId="00000053">
      <w:pPr>
        <w:contextualSpacing w:val="0"/>
        <w:rPr>
          <w:b w:val="1"/>
          <w:sz w:val="24"/>
          <w:szCs w:val="24"/>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rtl w:val="0"/>
        </w:rPr>
      </w:r>
    </w:p>
    <w:p w:rsidR="00000000" w:rsidDel="00000000" w:rsidP="00000000" w:rsidRDefault="00000000" w:rsidRPr="00000000" w14:paraId="00000055">
      <w:pPr>
        <w:contextualSpacing w:val="0"/>
        <w:rPr>
          <w:b w:val="1"/>
          <w:sz w:val="24"/>
          <w:szCs w:val="24"/>
        </w:rPr>
      </w:pP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contextualSpacing w:val="0"/>
        <w:rPr>
          <w:b w:val="1"/>
          <w:sz w:val="24"/>
          <w:szCs w:val="24"/>
        </w:rPr>
      </w:pPr>
      <w:r w:rsidDel="00000000" w:rsidR="00000000" w:rsidRPr="00000000">
        <w:rPr>
          <w:rtl w:val="0"/>
        </w:rPr>
      </w:r>
    </w:p>
    <w:p w:rsidR="00000000" w:rsidDel="00000000" w:rsidP="00000000" w:rsidRDefault="00000000" w:rsidRPr="00000000" w14:paraId="00000058">
      <w:pPr>
        <w:contextualSpacing w:val="0"/>
        <w:rPr>
          <w:b w:val="1"/>
          <w:sz w:val="24"/>
          <w:szCs w:val="24"/>
        </w:rPr>
      </w:pPr>
      <w:r w:rsidDel="00000000" w:rsidR="00000000" w:rsidRPr="00000000">
        <w:rPr>
          <w:rtl w:val="0"/>
        </w:rPr>
      </w:r>
    </w:p>
    <w:p w:rsidR="00000000" w:rsidDel="00000000" w:rsidP="00000000" w:rsidRDefault="00000000" w:rsidRPr="00000000" w14:paraId="00000059">
      <w:pPr>
        <w:contextualSpacing w:val="0"/>
        <w:rPr>
          <w:b w:val="1"/>
          <w:sz w:val="24"/>
          <w:szCs w:val="24"/>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rtl w:val="0"/>
        </w:rPr>
      </w:r>
    </w:p>
    <w:bookmarkStart w:colFirst="0" w:colLast="0" w:name="a47scdo2lfj6" w:id="4"/>
    <w:bookmarkEnd w:id="4"/>
    <w:p w:rsidR="00000000" w:rsidDel="00000000" w:rsidP="00000000" w:rsidRDefault="00000000" w:rsidRPr="00000000" w14:paraId="0000005B">
      <w:pPr>
        <w:numPr>
          <w:ilvl w:val="0"/>
          <w:numId w:val="2"/>
        </w:numPr>
        <w:ind w:left="720" w:hanging="360"/>
        <w:contextualSpacing w:val="1"/>
        <w:rPr>
          <w:sz w:val="24"/>
          <w:szCs w:val="24"/>
        </w:rPr>
      </w:pPr>
      <w:r w:rsidDel="00000000" w:rsidR="00000000" w:rsidRPr="00000000">
        <w:rPr>
          <w:sz w:val="24"/>
          <w:szCs w:val="24"/>
          <w:rtl w:val="0"/>
        </w:rPr>
        <w:t xml:space="preserve">Global Maps of Important Environmental Variables that are measured by satellite (T, S, μ)</w:t>
      </w:r>
    </w:p>
    <w:p w:rsidR="00000000" w:rsidDel="00000000" w:rsidP="00000000" w:rsidRDefault="00000000" w:rsidRPr="00000000" w14:paraId="0000005C">
      <w:pPr>
        <w:contextualSpacing w:val="0"/>
        <w:rPr>
          <w:sz w:val="24"/>
          <w:szCs w:val="24"/>
        </w:rPr>
      </w:pPr>
      <w:r w:rsidDel="00000000" w:rsidR="00000000" w:rsidRPr="00000000">
        <w:rPr>
          <w:sz w:val="24"/>
          <w:szCs w:val="24"/>
        </w:rPr>
        <w:drawing>
          <wp:inline distB="114300" distT="114300" distL="114300" distR="114300">
            <wp:extent cx="5334000" cy="2486025"/>
            <wp:effectExtent b="0" l="0" r="0" t="0"/>
            <wp:docPr id="8" name="image20.png"/>
            <a:graphic>
              <a:graphicData uri="http://schemas.openxmlformats.org/drawingml/2006/picture">
                <pic:pic>
                  <pic:nvPicPr>
                    <pic:cNvPr id="0" name="image20.png"/>
                    <pic:cNvPicPr preferRelativeResize="0"/>
                  </pic:nvPicPr>
                  <pic:blipFill>
                    <a:blip r:embed="rId9"/>
                    <a:srcRect b="20476" l="0" r="0" t="17380"/>
                    <a:stretch>
                      <a:fillRect/>
                    </a:stretch>
                  </pic:blipFill>
                  <pic:spPr>
                    <a:xfrm>
                      <a:off x="0" y="0"/>
                      <a:ext cx="5334000" cy="2486025"/>
                    </a:xfrm>
                    <a:prstGeom prst="rect"/>
                    <a:ln/>
                  </pic:spPr>
                </pic:pic>
              </a:graphicData>
            </a:graphic>
          </wp:inline>
        </w:drawing>
      </w:r>
      <w:r w:rsidDel="00000000" w:rsidR="00000000" w:rsidRPr="00000000">
        <w:rPr>
          <w:sz w:val="24"/>
          <w:szCs w:val="24"/>
        </w:rPr>
        <w:drawing>
          <wp:inline distB="114300" distT="114300" distL="114300" distR="114300">
            <wp:extent cx="5334000" cy="2419350"/>
            <wp:effectExtent b="0" l="0" r="0" t="0"/>
            <wp:docPr id="1" name="image13.png"/>
            <a:graphic>
              <a:graphicData uri="http://schemas.openxmlformats.org/drawingml/2006/picture">
                <pic:pic>
                  <pic:nvPicPr>
                    <pic:cNvPr id="0" name="image13.png"/>
                    <pic:cNvPicPr preferRelativeResize="0"/>
                  </pic:nvPicPr>
                  <pic:blipFill>
                    <a:blip r:embed="rId10"/>
                    <a:srcRect b="22142" l="0" r="0" t="17380"/>
                    <a:stretch>
                      <a:fillRect/>
                    </a:stretch>
                  </pic:blipFill>
                  <pic:spPr>
                    <a:xfrm>
                      <a:off x="0" y="0"/>
                      <a:ext cx="53340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5F">
      <w:pPr>
        <w:contextualSpacing w:val="0"/>
        <w:rPr>
          <w:sz w:val="24"/>
          <w:szCs w:val="24"/>
        </w:rPr>
      </w:pPr>
      <w:r w:rsidDel="00000000" w:rsidR="00000000" w:rsidRPr="00000000">
        <w:rPr>
          <w:rtl w:val="0"/>
        </w:rPr>
      </w:r>
    </w:p>
    <w:bookmarkStart w:colFirst="0" w:colLast="0" w:name="z3v4e2yekvve" w:id="5"/>
    <w:bookmarkEnd w:id="5"/>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B.  Particle Size and Sinking Speed</w:t>
      </w:r>
    </w:p>
    <w:p w:rsidR="00000000" w:rsidDel="00000000" w:rsidP="00000000" w:rsidRDefault="00000000" w:rsidRPr="00000000" w14:paraId="00000061">
      <w:pPr>
        <w:contextualSpacing w:val="0"/>
        <w:rPr>
          <w:b w:val="1"/>
          <w:sz w:val="24"/>
          <w:szCs w:val="24"/>
        </w:rPr>
      </w:pPr>
      <w:r w:rsidDel="00000000" w:rsidR="00000000" w:rsidRPr="00000000">
        <w:rPr>
          <w:b w:val="1"/>
          <w:sz w:val="24"/>
          <w:szCs w:val="24"/>
        </w:rPr>
        <w:drawing>
          <wp:inline distB="114300" distT="114300" distL="114300" distR="114300">
            <wp:extent cx="5943600" cy="4864100"/>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b w:val="1"/>
          <w:sz w:val="20"/>
          <w:szCs w:val="20"/>
          <w:rtl w:val="0"/>
        </w:rPr>
        <w:t xml:space="preserve">Figure ( ):</w:t>
      </w:r>
      <w:r w:rsidDel="00000000" w:rsidR="00000000" w:rsidRPr="00000000">
        <w:rPr>
          <w:sz w:val="20"/>
          <w:szCs w:val="20"/>
          <w:rtl w:val="0"/>
        </w:rPr>
        <w:t xml:space="preserve"> Comparisons between Stokes Model and Extended Model.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 35</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Salinity S = 35 ppt. The basic Stokes Model assumes a cell radius of r = 10 μm and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(“Stokes’ Model”). The Extended Model assumes a cell radius of r = 10 μm, a frustle thickness of t = 1 μm, a cytoplasm density of ⍴</w:t>
      </w:r>
      <w:r w:rsidDel="00000000" w:rsidR="00000000" w:rsidRPr="00000000">
        <w:rPr>
          <w:sz w:val="20"/>
          <w:szCs w:val="20"/>
          <w:vertAlign w:val="subscript"/>
          <w:rtl w:val="0"/>
        </w:rPr>
        <w:t xml:space="preserve">cyt </w:t>
      </w:r>
      <w:r w:rsidDel="00000000" w:rsidR="00000000" w:rsidRPr="00000000">
        <w:rPr>
          <w:sz w:val="20"/>
          <w:szCs w:val="20"/>
          <w:rtl w:val="0"/>
        </w:rPr>
        <w:t xml:space="preserve">=</w:t>
      </w:r>
      <w:r w:rsidDel="00000000" w:rsidR="00000000" w:rsidRPr="00000000">
        <w:rPr>
          <w:sz w:val="20"/>
          <w:szCs w:val="20"/>
          <w:rtl w:val="0"/>
        </w:rPr>
        <w:t xml:space="preserve">1065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and a frustle density of ⍴</w:t>
      </w:r>
      <w:r w:rsidDel="00000000" w:rsidR="00000000" w:rsidRPr="00000000">
        <w:rPr>
          <w:sz w:val="20"/>
          <w:szCs w:val="20"/>
          <w:vertAlign w:val="subscript"/>
          <w:rtl w:val="0"/>
        </w:rPr>
        <w:t xml:space="preserve">fr</w:t>
      </w:r>
      <w:r w:rsidDel="00000000" w:rsidR="00000000" w:rsidRPr="00000000">
        <w:rPr>
          <w:sz w:val="20"/>
          <w:szCs w:val="20"/>
          <w:rtl w:val="0"/>
        </w:rPr>
        <w:t xml:space="preserve"> =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 (“Extended Model”). Each model is presented with and without the influence of dynamic viscosity.</w:t>
      </w:r>
      <w:r w:rsidDel="00000000" w:rsidR="00000000" w:rsidRPr="00000000">
        <w:rPr>
          <w:rtl w:val="0"/>
        </w:rPr>
      </w:r>
    </w:p>
    <w:p w:rsidR="00000000" w:rsidDel="00000000" w:rsidP="00000000" w:rsidRDefault="00000000" w:rsidRPr="00000000" w14:paraId="00000063">
      <w:pPr>
        <w:contextualSpacing w:val="0"/>
        <w:rPr>
          <w:b w:val="1"/>
          <w:sz w:val="24"/>
          <w:szCs w:val="24"/>
        </w:rPr>
      </w:pPr>
      <w:r w:rsidDel="00000000" w:rsidR="00000000" w:rsidRPr="00000000">
        <w:rPr>
          <w:b w:val="1"/>
          <w:sz w:val="24"/>
          <w:szCs w:val="24"/>
          <w:rtl w:val="0"/>
        </w:rPr>
        <w:t xml:space="preserve">(StokesDennysPlot.m)</w:t>
      </w:r>
    </w:p>
    <w:p w:rsidR="00000000" w:rsidDel="00000000" w:rsidP="00000000" w:rsidRDefault="00000000" w:rsidRPr="00000000" w14:paraId="00000064">
      <w:pPr>
        <w:contextualSpacing w:val="0"/>
        <w:rPr>
          <w:b w:val="1"/>
          <w:sz w:val="24"/>
          <w:szCs w:val="24"/>
        </w:rPr>
      </w:pPr>
      <w:r w:rsidDel="00000000" w:rsidR="00000000" w:rsidRPr="00000000">
        <w:rPr>
          <w:b w:val="1"/>
          <w:sz w:val="24"/>
          <w:szCs w:val="24"/>
        </w:rPr>
        <w:drawing>
          <wp:inline distB="114300" distT="114300" distL="114300" distR="114300">
            <wp:extent cx="5943600" cy="4876800"/>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sz w:val="20"/>
          <w:szCs w:val="20"/>
        </w:rPr>
      </w:pPr>
      <w:r w:rsidDel="00000000" w:rsidR="00000000" w:rsidRPr="00000000">
        <w:rPr>
          <w:b w:val="1"/>
          <w:sz w:val="20"/>
          <w:szCs w:val="20"/>
          <w:rtl w:val="0"/>
        </w:rPr>
        <w:t xml:space="preserve">Figure ( ): </w:t>
      </w:r>
      <w:r w:rsidDel="00000000" w:rsidR="00000000" w:rsidRPr="00000000">
        <w:rPr>
          <w:sz w:val="20"/>
          <w:szCs w:val="20"/>
          <w:rtl w:val="0"/>
        </w:rPr>
        <w:t xml:space="preserve">Comparison of Sinking Speed (U) of diatoms at different densities. Sinking Speeds are calculated using the Extended Model. The hypothetical diatoms have radius r = 10 and frustle thickness t = 1 μm</w:t>
      </w:r>
    </w:p>
    <w:p w:rsidR="00000000" w:rsidDel="00000000" w:rsidP="00000000" w:rsidRDefault="00000000" w:rsidRPr="00000000" w14:paraId="00000066">
      <w:pPr>
        <w:contextualSpacing w:val="0"/>
        <w:rPr>
          <w:b w:val="1"/>
          <w:sz w:val="24"/>
          <w:szCs w:val="24"/>
        </w:rPr>
      </w:pPr>
      <w:r w:rsidDel="00000000" w:rsidR="00000000" w:rsidRPr="00000000">
        <w:rPr>
          <w:b w:val="1"/>
          <w:sz w:val="24"/>
          <w:szCs w:val="24"/>
          <w:rtl w:val="0"/>
        </w:rPr>
        <w:t xml:space="preserve">(VariableDensity.m)</w:t>
      </w:r>
    </w:p>
    <w:p w:rsidR="00000000" w:rsidDel="00000000" w:rsidP="00000000" w:rsidRDefault="00000000" w:rsidRPr="00000000" w14:paraId="00000067">
      <w:pPr>
        <w:contextualSpacing w:val="0"/>
        <w:rPr>
          <w:b w:val="1"/>
          <w:sz w:val="24"/>
          <w:szCs w:val="24"/>
        </w:rPr>
      </w:pPr>
      <w:r w:rsidDel="00000000" w:rsidR="00000000" w:rsidRPr="00000000">
        <w:rPr>
          <w:rtl w:val="0"/>
        </w:rPr>
      </w:r>
    </w:p>
    <w:p w:rsidR="00000000" w:rsidDel="00000000" w:rsidP="00000000" w:rsidRDefault="00000000" w:rsidRPr="00000000" w14:paraId="00000068">
      <w:pPr>
        <w:contextualSpacing w:val="0"/>
        <w:rPr>
          <w:b w:val="1"/>
          <w:sz w:val="24"/>
          <w:szCs w:val="24"/>
        </w:rPr>
      </w:pPr>
      <w:r w:rsidDel="00000000" w:rsidR="00000000" w:rsidRPr="00000000">
        <w:rPr>
          <w:b w:val="1"/>
          <w:sz w:val="24"/>
          <w:szCs w:val="24"/>
        </w:rPr>
        <w:drawing>
          <wp:inline distB="114300" distT="114300" distL="114300" distR="114300">
            <wp:extent cx="5943600" cy="2806700"/>
            <wp:effectExtent b="0" l="0" r="0" t="0"/>
            <wp:docPr id="1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b w:val="1"/>
          <w:sz w:val="24"/>
          <w:szCs w:val="24"/>
          <w:rtl w:val="0"/>
        </w:rPr>
        <w:t xml:space="preserve">(LaTeX doc)</w:t>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bookmarkStart w:colFirst="0" w:colLast="0" w:name="zax6grz95tsi" w:id="6"/>
    <w:bookmarkEnd w:id="6"/>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 Particle Size Distribution and Global Carbon Flux Estimates                                                                                                                                                                                                                                                                                                                                                                                                                                                                                                                                                                                                                                                                                                                                                                                                                                                                                                                                                                                                                                                                                                                                                                 </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Pr>
        <w:drawing>
          <wp:inline distB="114300" distT="114300" distL="114300" distR="114300">
            <wp:extent cx="5334000" cy="2419350"/>
            <wp:effectExtent b="0" l="0" r="0" t="0"/>
            <wp:docPr id="5" name="image17.png"/>
            <a:graphic>
              <a:graphicData uri="http://schemas.openxmlformats.org/drawingml/2006/picture">
                <pic:pic>
                  <pic:nvPicPr>
                    <pic:cNvPr id="0" name="image17.png"/>
                    <pic:cNvPicPr preferRelativeResize="0"/>
                  </pic:nvPicPr>
                  <pic:blipFill>
                    <a:blip r:embed="rId14"/>
                    <a:srcRect b="21666" l="0" r="0" t="17857"/>
                    <a:stretch>
                      <a:fillRect/>
                    </a:stretch>
                  </pic:blipFill>
                  <pic:spPr>
                    <a:xfrm>
                      <a:off x="0" y="0"/>
                      <a:ext cx="53340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bookmarkStart w:colFirst="0" w:colLast="0" w:name="extbb7a1xyur" w:id="7"/>
    <w:bookmarkEnd w:id="7"/>
    <w:p w:rsidR="00000000" w:rsidDel="00000000" w:rsidP="00000000" w:rsidRDefault="00000000" w:rsidRPr="00000000" w14:paraId="00000077">
      <w:pPr>
        <w:contextualSpacing w:val="0"/>
        <w:rPr>
          <w:b w:val="1"/>
          <w:sz w:val="24"/>
          <w:szCs w:val="24"/>
        </w:rPr>
      </w:pPr>
      <w:r w:rsidDel="00000000" w:rsidR="00000000" w:rsidRPr="00000000">
        <w:rPr>
          <w:b w:val="1"/>
          <w:sz w:val="24"/>
          <w:szCs w:val="24"/>
          <w:rtl w:val="0"/>
        </w:rPr>
        <w:t xml:space="preserve">Sediment Trap Data</w:t>
      </w:r>
    </w:p>
    <w:p w:rsidR="00000000" w:rsidDel="00000000" w:rsidP="00000000" w:rsidRDefault="00000000" w:rsidRPr="00000000" w14:paraId="00000078">
      <w:pPr>
        <w:contextualSpacing w:val="0"/>
        <w:rPr>
          <w:b w:val="1"/>
          <w:sz w:val="24"/>
          <w:szCs w:val="24"/>
        </w:rPr>
      </w:pPr>
      <w:r w:rsidDel="00000000" w:rsidR="00000000" w:rsidRPr="00000000">
        <w:rPr>
          <w:rtl w:val="0"/>
        </w:rPr>
      </w:r>
    </w:p>
    <w:p w:rsidR="00000000" w:rsidDel="00000000" w:rsidP="00000000" w:rsidRDefault="00000000" w:rsidRPr="00000000" w14:paraId="00000079">
      <w:pPr>
        <w:contextualSpacing w:val="0"/>
        <w:rPr>
          <w:b w:val="1"/>
          <w:sz w:val="24"/>
          <w:szCs w:val="24"/>
        </w:rPr>
      </w:pPr>
      <w:r w:rsidDel="00000000" w:rsidR="00000000" w:rsidRPr="00000000">
        <w:rPr>
          <w:rtl w:val="0"/>
        </w:rPr>
      </w:r>
    </w:p>
    <w:p w:rsidR="00000000" w:rsidDel="00000000" w:rsidP="00000000" w:rsidRDefault="00000000" w:rsidRPr="00000000" w14:paraId="0000007A">
      <w:pPr>
        <w:contextualSpacing w:val="0"/>
        <w:rPr>
          <w:b w:val="1"/>
          <w:sz w:val="24"/>
          <w:szCs w:val="24"/>
        </w:rPr>
      </w:pPr>
      <w:r w:rsidDel="00000000" w:rsidR="00000000" w:rsidRPr="00000000">
        <w:rPr>
          <w:rtl w:val="0"/>
        </w:rPr>
      </w:r>
    </w:p>
    <w:p w:rsidR="00000000" w:rsidDel="00000000" w:rsidP="00000000" w:rsidRDefault="00000000" w:rsidRPr="00000000" w14:paraId="0000007B">
      <w:pPr>
        <w:contextualSpacing w:val="0"/>
        <w:rPr>
          <w:b w:val="1"/>
          <w:sz w:val="24"/>
          <w:szCs w:val="24"/>
        </w:rPr>
      </w:pPr>
      <w:r w:rsidDel="00000000" w:rsidR="00000000" w:rsidRPr="00000000">
        <w:rPr>
          <w:rtl w:val="0"/>
        </w:rPr>
      </w:r>
    </w:p>
    <w:p w:rsidR="00000000" w:rsidDel="00000000" w:rsidP="00000000" w:rsidRDefault="00000000" w:rsidRPr="00000000" w14:paraId="0000007C">
      <w:pPr>
        <w:contextualSpacing w:val="0"/>
        <w:rPr>
          <w:b w:val="1"/>
          <w:sz w:val="24"/>
          <w:szCs w:val="24"/>
        </w:rPr>
      </w:pPr>
      <w:r w:rsidDel="00000000" w:rsidR="00000000" w:rsidRPr="00000000">
        <w:rPr>
          <w:rtl w:val="0"/>
        </w:rPr>
      </w:r>
    </w:p>
    <w:p w:rsidR="00000000" w:rsidDel="00000000" w:rsidP="00000000" w:rsidRDefault="00000000" w:rsidRPr="00000000" w14:paraId="0000007D">
      <w:pPr>
        <w:contextualSpacing w:val="0"/>
        <w:rPr>
          <w:b w:val="1"/>
          <w:sz w:val="24"/>
          <w:szCs w:val="24"/>
        </w:rPr>
      </w:pPr>
      <w:r w:rsidDel="00000000" w:rsidR="00000000" w:rsidRPr="00000000">
        <w:rPr>
          <w:rtl w:val="0"/>
        </w:rPr>
      </w:r>
    </w:p>
    <w:p w:rsidR="00000000" w:rsidDel="00000000" w:rsidP="00000000" w:rsidRDefault="00000000" w:rsidRPr="00000000" w14:paraId="0000007E">
      <w:pPr>
        <w:contextualSpacing w:val="0"/>
        <w:rPr>
          <w:b w:val="1"/>
          <w:sz w:val="24"/>
          <w:szCs w:val="24"/>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rtl w:val="0"/>
        </w:rPr>
      </w:r>
    </w:p>
    <w:p w:rsidR="00000000" w:rsidDel="00000000" w:rsidP="00000000" w:rsidRDefault="00000000" w:rsidRPr="00000000" w14:paraId="00000081">
      <w:pPr>
        <w:contextualSpacing w:val="0"/>
        <w:rPr>
          <w:b w:val="1"/>
          <w:sz w:val="24"/>
          <w:szCs w:val="24"/>
        </w:rPr>
      </w:pPr>
      <w:r w:rsidDel="00000000" w:rsidR="00000000" w:rsidRPr="00000000">
        <w:rPr>
          <w:rtl w:val="0"/>
        </w:rPr>
      </w:r>
    </w:p>
    <w:p w:rsidR="00000000" w:rsidDel="00000000" w:rsidP="00000000" w:rsidRDefault="00000000" w:rsidRPr="00000000" w14:paraId="00000082">
      <w:pPr>
        <w:contextualSpacing w:val="0"/>
        <w:rPr>
          <w:b w:val="1"/>
          <w:sz w:val="24"/>
          <w:szCs w:val="24"/>
        </w:rPr>
      </w:pPr>
      <w:r w:rsidDel="00000000" w:rsidR="00000000" w:rsidRPr="00000000">
        <w:rPr>
          <w:rtl w:val="0"/>
        </w:rPr>
      </w:r>
    </w:p>
    <w:p w:rsidR="00000000" w:rsidDel="00000000" w:rsidP="00000000" w:rsidRDefault="00000000" w:rsidRPr="00000000" w14:paraId="00000083">
      <w:pPr>
        <w:contextualSpacing w:val="0"/>
        <w:rPr>
          <w:b w:val="1"/>
          <w:sz w:val="24"/>
          <w:szCs w:val="24"/>
        </w:rPr>
      </w:pPr>
      <w:r w:rsidDel="00000000" w:rsidR="00000000" w:rsidRPr="00000000">
        <w:rPr>
          <w:rtl w:val="0"/>
        </w:rPr>
      </w:r>
    </w:p>
    <w:p w:rsidR="00000000" w:rsidDel="00000000" w:rsidP="00000000" w:rsidRDefault="00000000" w:rsidRPr="00000000" w14:paraId="00000084">
      <w:pPr>
        <w:contextualSpacing w:val="0"/>
        <w:rPr>
          <w:b w:val="1"/>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b w:val="1"/>
          <w:sz w:val="24"/>
          <w:szCs w:val="24"/>
        </w:rPr>
      </w:pPr>
      <w:r w:rsidDel="00000000" w:rsidR="00000000" w:rsidRPr="00000000">
        <w:rPr>
          <w:rtl w:val="0"/>
        </w:rPr>
      </w:r>
    </w:p>
    <w:p w:rsidR="00000000" w:rsidDel="00000000" w:rsidP="00000000" w:rsidRDefault="00000000" w:rsidRPr="00000000" w14:paraId="00000087">
      <w:pPr>
        <w:contextualSpacing w:val="0"/>
        <w:rPr>
          <w:b w:val="1"/>
          <w:sz w:val="24"/>
          <w:szCs w:val="24"/>
        </w:rPr>
      </w:pPr>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b w:val="1"/>
          <w:sz w:val="24"/>
          <w:szCs w:val="24"/>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rtl w:val="0"/>
        </w:rPr>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rtl w:val="0"/>
        </w:rPr>
      </w:r>
    </w:p>
    <w:bookmarkStart w:colFirst="0" w:colLast="0" w:name="kjcan14xqtkx" w:id="8"/>
    <w:bookmarkEnd w:id="8"/>
    <w:p w:rsidR="00000000" w:rsidDel="00000000" w:rsidP="00000000" w:rsidRDefault="00000000" w:rsidRPr="00000000" w14:paraId="0000009E">
      <w:pPr>
        <w:contextualSpacing w:val="0"/>
        <w:rPr>
          <w:b w:val="1"/>
          <w:sz w:val="24"/>
          <w:szCs w:val="24"/>
        </w:rPr>
      </w:pPr>
      <w:r w:rsidDel="00000000" w:rsidR="00000000" w:rsidRPr="00000000">
        <w:rPr>
          <w:b w:val="1"/>
          <w:sz w:val="24"/>
          <w:szCs w:val="24"/>
          <w:rtl w:val="0"/>
        </w:rPr>
        <w:t xml:space="preserve">Comparisons Between Data</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Pr>
        <w:drawing>
          <wp:inline distB="114300" distT="114300" distL="114300" distR="114300">
            <wp:extent cx="5943600" cy="18923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Pr>
        <w:drawing>
          <wp:inline distB="114300" distT="114300" distL="114300" distR="114300">
            <wp:extent cx="5334000" cy="400050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sz w:val="24"/>
          <w:szCs w:val="24"/>
        </w:rPr>
      </w:pPr>
      <w:r w:rsidDel="00000000" w:rsidR="00000000" w:rsidRPr="00000000">
        <w:rPr>
          <w:sz w:val="24"/>
          <w:szCs w:val="24"/>
        </w:rPr>
        <w:drawing>
          <wp:inline distB="114300" distT="114300" distL="114300" distR="114300">
            <wp:extent cx="5334000" cy="4000500"/>
            <wp:effectExtent b="0" l="0" r="0" t="0"/>
            <wp:docPr id="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A6">
      <w:pPr>
        <w:contextualSpacing w:val="0"/>
        <w:rPr>
          <w:b w:val="1"/>
          <w:sz w:val="24"/>
          <w:szCs w:val="24"/>
        </w:rPr>
      </w:pPr>
      <w:r w:rsidDel="00000000" w:rsidR="00000000" w:rsidRPr="00000000">
        <w:rPr>
          <w:rtl w:val="0"/>
        </w:rPr>
      </w:r>
    </w:p>
    <w:p w:rsidR="00000000" w:rsidDel="00000000" w:rsidP="00000000" w:rsidRDefault="00000000" w:rsidRPr="00000000" w14:paraId="000000A7">
      <w:pPr>
        <w:contextualSpacing w:val="0"/>
        <w:rPr>
          <w:b w:val="1"/>
          <w:sz w:val="24"/>
          <w:szCs w:val="24"/>
        </w:rPr>
      </w:pPr>
      <w:r w:rsidDel="00000000" w:rsidR="00000000" w:rsidRPr="00000000">
        <w:rPr>
          <w:rtl w:val="0"/>
        </w:rPr>
      </w:r>
    </w:p>
    <w:p w:rsidR="00000000" w:rsidDel="00000000" w:rsidP="00000000" w:rsidRDefault="00000000" w:rsidRPr="00000000" w14:paraId="000000A8">
      <w:pPr>
        <w:contextualSpacing w:val="0"/>
        <w:rPr>
          <w:b w:val="1"/>
          <w:sz w:val="24"/>
          <w:szCs w:val="24"/>
        </w:rPr>
      </w:pPr>
      <w:r w:rsidDel="00000000" w:rsidR="00000000" w:rsidRPr="00000000">
        <w:rPr>
          <w:rtl w:val="0"/>
        </w:rPr>
      </w:r>
    </w:p>
    <w:p w:rsidR="00000000" w:rsidDel="00000000" w:rsidP="00000000" w:rsidRDefault="00000000" w:rsidRPr="00000000" w14:paraId="000000A9">
      <w:pPr>
        <w:contextualSpacing w:val="0"/>
        <w:rPr>
          <w:b w:val="1"/>
          <w:sz w:val="24"/>
          <w:szCs w:val="24"/>
        </w:rPr>
      </w:pPr>
      <w:r w:rsidDel="00000000" w:rsidR="00000000" w:rsidRPr="00000000">
        <w:rPr>
          <w:rtl w:val="0"/>
        </w:rPr>
      </w:r>
    </w:p>
    <w:p w:rsidR="00000000" w:rsidDel="00000000" w:rsidP="00000000" w:rsidRDefault="00000000" w:rsidRPr="00000000" w14:paraId="000000AA">
      <w:pPr>
        <w:contextualSpacing w:val="0"/>
        <w:rPr>
          <w:b w:val="1"/>
          <w:sz w:val="24"/>
          <w:szCs w:val="24"/>
        </w:rPr>
      </w:pPr>
      <w:r w:rsidDel="00000000" w:rsidR="00000000" w:rsidRPr="00000000">
        <w:rPr>
          <w:rtl w:val="0"/>
        </w:rPr>
      </w:r>
    </w:p>
    <w:p w:rsidR="00000000" w:rsidDel="00000000" w:rsidP="00000000" w:rsidRDefault="00000000" w:rsidRPr="00000000" w14:paraId="000000AB">
      <w:pPr>
        <w:contextualSpacing w:val="0"/>
        <w:rPr>
          <w:b w:val="1"/>
          <w:sz w:val="24"/>
          <w:szCs w:val="24"/>
        </w:rPr>
      </w:pPr>
      <w:r w:rsidDel="00000000" w:rsidR="00000000" w:rsidRPr="00000000">
        <w:rPr>
          <w:rtl w:val="0"/>
        </w:rPr>
      </w:r>
    </w:p>
    <w:p w:rsidR="00000000" w:rsidDel="00000000" w:rsidP="00000000" w:rsidRDefault="00000000" w:rsidRPr="00000000" w14:paraId="000000AC">
      <w:pPr>
        <w:contextualSpacing w:val="0"/>
        <w:rPr>
          <w:b w:val="1"/>
          <w:sz w:val="24"/>
          <w:szCs w:val="24"/>
        </w:rPr>
      </w:pPr>
      <w:r w:rsidDel="00000000" w:rsidR="00000000" w:rsidRPr="00000000">
        <w:rPr>
          <w:rtl w:val="0"/>
        </w:rPr>
      </w:r>
    </w:p>
    <w:p w:rsidR="00000000" w:rsidDel="00000000" w:rsidP="00000000" w:rsidRDefault="00000000" w:rsidRPr="00000000" w14:paraId="000000AD">
      <w:pPr>
        <w:contextualSpacing w:val="0"/>
        <w:rPr>
          <w:b w:val="1"/>
          <w:sz w:val="24"/>
          <w:szCs w:val="24"/>
        </w:rPr>
      </w:pPr>
      <w:r w:rsidDel="00000000" w:rsidR="00000000" w:rsidRPr="00000000">
        <w:rPr>
          <w:rtl w:val="0"/>
        </w:rPr>
      </w:r>
    </w:p>
    <w:p w:rsidR="00000000" w:rsidDel="00000000" w:rsidP="00000000" w:rsidRDefault="00000000" w:rsidRPr="00000000" w14:paraId="000000AE">
      <w:pPr>
        <w:contextualSpacing w:val="0"/>
        <w:rPr>
          <w:b w:val="1"/>
          <w:sz w:val="24"/>
          <w:szCs w:val="24"/>
        </w:rPr>
      </w:pPr>
      <w:r w:rsidDel="00000000" w:rsidR="00000000" w:rsidRPr="00000000">
        <w:rPr>
          <w:rtl w:val="0"/>
        </w:rPr>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b w:val="1"/>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rtl w:val="0"/>
        </w:rPr>
      </w:r>
    </w:p>
    <w:p w:rsidR="00000000" w:rsidDel="00000000" w:rsidP="00000000" w:rsidRDefault="00000000" w:rsidRPr="00000000" w14:paraId="000000B2">
      <w:pPr>
        <w:contextualSpacing w:val="0"/>
        <w:rPr>
          <w:b w:val="1"/>
          <w:sz w:val="24"/>
          <w:szCs w:val="24"/>
        </w:rPr>
      </w:pPr>
      <w:r w:rsidDel="00000000" w:rsidR="00000000" w:rsidRPr="00000000">
        <w:rPr>
          <w:rtl w:val="0"/>
        </w:rPr>
      </w:r>
    </w:p>
    <w:p w:rsidR="00000000" w:rsidDel="00000000" w:rsidP="00000000" w:rsidRDefault="00000000" w:rsidRPr="00000000" w14:paraId="000000B3">
      <w:pPr>
        <w:contextualSpacing w:val="0"/>
        <w:rPr>
          <w:b w:val="1"/>
          <w:sz w:val="24"/>
          <w:szCs w:val="24"/>
        </w:rPr>
      </w:pPr>
      <w:r w:rsidDel="00000000" w:rsidR="00000000" w:rsidRPr="00000000">
        <w:rPr>
          <w:rtl w:val="0"/>
        </w:rPr>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b w:val="1"/>
          <w:sz w:val="24"/>
          <w:szCs w:val="24"/>
        </w:rPr>
      </w:pPr>
      <w:r w:rsidDel="00000000" w:rsidR="00000000" w:rsidRPr="00000000">
        <w:rPr>
          <w:rtl w:val="0"/>
        </w:rPr>
      </w:r>
    </w:p>
    <w:p w:rsidR="00000000" w:rsidDel="00000000" w:rsidP="00000000" w:rsidRDefault="00000000" w:rsidRPr="00000000" w14:paraId="000000B6">
      <w:pPr>
        <w:contextualSpacing w:val="0"/>
        <w:rPr>
          <w:b w:val="1"/>
          <w:sz w:val="24"/>
          <w:szCs w:val="24"/>
        </w:rPr>
      </w:pPr>
      <w:r w:rsidDel="00000000" w:rsidR="00000000" w:rsidRPr="00000000">
        <w:rPr>
          <w:rtl w:val="0"/>
        </w:rPr>
      </w:r>
    </w:p>
    <w:p w:rsidR="00000000" w:rsidDel="00000000" w:rsidP="00000000" w:rsidRDefault="00000000" w:rsidRPr="00000000" w14:paraId="000000B7">
      <w:pPr>
        <w:contextualSpacing w:val="0"/>
        <w:rPr>
          <w:b w:val="1"/>
          <w:sz w:val="24"/>
          <w:szCs w:val="24"/>
        </w:rPr>
      </w:pPr>
      <w:r w:rsidDel="00000000" w:rsidR="00000000" w:rsidRPr="00000000">
        <w:rPr>
          <w:rtl w:val="0"/>
        </w:rPr>
      </w:r>
    </w:p>
    <w:p w:rsidR="00000000" w:rsidDel="00000000" w:rsidP="00000000" w:rsidRDefault="00000000" w:rsidRPr="00000000" w14:paraId="000000B8">
      <w:pPr>
        <w:contextualSpacing w:val="0"/>
        <w:rPr>
          <w:b w:val="1"/>
          <w:sz w:val="24"/>
          <w:szCs w:val="24"/>
        </w:rPr>
      </w:pPr>
      <w:r w:rsidDel="00000000" w:rsidR="00000000" w:rsidRPr="00000000">
        <w:rPr>
          <w:rtl w:val="0"/>
        </w:rPr>
      </w:r>
    </w:p>
    <w:p w:rsidR="00000000" w:rsidDel="00000000" w:rsidP="00000000" w:rsidRDefault="00000000" w:rsidRPr="00000000" w14:paraId="000000B9">
      <w:pPr>
        <w:contextualSpacing w:val="0"/>
        <w:rPr>
          <w:b w:val="1"/>
          <w:sz w:val="24"/>
          <w:szCs w:val="24"/>
        </w:rPr>
      </w:pPr>
      <w:r w:rsidDel="00000000" w:rsidR="00000000" w:rsidRPr="00000000">
        <w:rPr>
          <w:rtl w:val="0"/>
        </w:rPr>
      </w:r>
    </w:p>
    <w:p w:rsidR="00000000" w:rsidDel="00000000" w:rsidP="00000000" w:rsidRDefault="00000000" w:rsidRPr="00000000" w14:paraId="000000BA">
      <w:pPr>
        <w:contextualSpacing w:val="0"/>
        <w:rPr>
          <w:b w:val="1"/>
          <w:sz w:val="24"/>
          <w:szCs w:val="24"/>
        </w:rPr>
      </w:pPr>
      <w:r w:rsidDel="00000000" w:rsidR="00000000" w:rsidRPr="00000000">
        <w:rPr>
          <w:rtl w:val="0"/>
        </w:rPr>
      </w:r>
    </w:p>
    <w:p w:rsidR="00000000" w:rsidDel="00000000" w:rsidP="00000000" w:rsidRDefault="00000000" w:rsidRPr="00000000" w14:paraId="000000BB">
      <w:pPr>
        <w:contextualSpacing w:val="0"/>
        <w:rPr>
          <w:b w:val="1"/>
          <w:sz w:val="24"/>
          <w:szCs w:val="24"/>
        </w:rPr>
      </w:pPr>
      <w:r w:rsidDel="00000000" w:rsidR="00000000" w:rsidRPr="00000000">
        <w:rPr>
          <w:rtl w:val="0"/>
        </w:rPr>
      </w:r>
    </w:p>
    <w:p w:rsidR="00000000" w:rsidDel="00000000" w:rsidP="00000000" w:rsidRDefault="00000000" w:rsidRPr="00000000" w14:paraId="000000BC">
      <w:pPr>
        <w:contextualSpacing w:val="0"/>
        <w:rPr>
          <w:b w:val="1"/>
          <w:sz w:val="24"/>
          <w:szCs w:val="24"/>
        </w:rPr>
      </w:pPr>
      <w:r w:rsidDel="00000000" w:rsidR="00000000" w:rsidRPr="00000000">
        <w:rPr>
          <w:rtl w:val="0"/>
        </w:rPr>
      </w:r>
    </w:p>
    <w:p w:rsidR="00000000" w:rsidDel="00000000" w:rsidP="00000000" w:rsidRDefault="00000000" w:rsidRPr="00000000" w14:paraId="000000BD">
      <w:pPr>
        <w:contextualSpacing w:val="0"/>
        <w:rPr>
          <w:b w:val="1"/>
          <w:sz w:val="24"/>
          <w:szCs w:val="24"/>
        </w:rPr>
      </w:pPr>
      <w:r w:rsidDel="00000000" w:rsidR="00000000" w:rsidRPr="00000000">
        <w:rPr>
          <w:rtl w:val="0"/>
        </w:rPr>
      </w:r>
    </w:p>
    <w:p w:rsidR="00000000" w:rsidDel="00000000" w:rsidP="00000000" w:rsidRDefault="00000000" w:rsidRPr="00000000" w14:paraId="000000BE">
      <w:pPr>
        <w:contextualSpacing w:val="0"/>
        <w:rPr>
          <w:b w:val="1"/>
          <w:sz w:val="24"/>
          <w:szCs w:val="24"/>
        </w:rPr>
      </w:pPr>
      <w:r w:rsidDel="00000000" w:rsidR="00000000" w:rsidRPr="00000000">
        <w:rPr>
          <w:rtl w:val="0"/>
        </w:rPr>
      </w:r>
    </w:p>
    <w:p w:rsidR="00000000" w:rsidDel="00000000" w:rsidP="00000000" w:rsidRDefault="00000000" w:rsidRPr="00000000" w14:paraId="000000BF">
      <w:pPr>
        <w:contextualSpacing w:val="0"/>
        <w:rPr>
          <w:b w:val="1"/>
          <w:sz w:val="24"/>
          <w:szCs w:val="24"/>
        </w:rPr>
      </w:pPr>
      <w:r w:rsidDel="00000000" w:rsidR="00000000" w:rsidRPr="00000000">
        <w:rPr>
          <w:rtl w:val="0"/>
        </w:rPr>
      </w:r>
    </w:p>
    <w:p w:rsidR="00000000" w:rsidDel="00000000" w:rsidP="00000000" w:rsidRDefault="00000000" w:rsidRPr="00000000" w14:paraId="000000C0">
      <w:pPr>
        <w:contextualSpacing w:val="0"/>
        <w:rPr>
          <w:b w:val="1"/>
          <w:sz w:val="24"/>
          <w:szCs w:val="24"/>
        </w:rPr>
      </w:pPr>
      <w:r w:rsidDel="00000000" w:rsidR="00000000" w:rsidRPr="00000000">
        <w:rPr>
          <w:rtl w:val="0"/>
        </w:rPr>
      </w:r>
    </w:p>
    <w:p w:rsidR="00000000" w:rsidDel="00000000" w:rsidP="00000000" w:rsidRDefault="00000000" w:rsidRPr="00000000" w14:paraId="000000C1">
      <w:pPr>
        <w:contextualSpacing w:val="0"/>
        <w:rPr>
          <w:b w:val="1"/>
          <w:sz w:val="24"/>
          <w:szCs w:val="24"/>
        </w:rPr>
      </w:pPr>
      <w:r w:rsidDel="00000000" w:rsidR="00000000" w:rsidRPr="00000000">
        <w:rPr>
          <w:rtl w:val="0"/>
        </w:rPr>
      </w:r>
    </w:p>
    <w:p w:rsidR="00000000" w:rsidDel="00000000" w:rsidP="00000000" w:rsidRDefault="00000000" w:rsidRPr="00000000" w14:paraId="000000C2">
      <w:pPr>
        <w:contextualSpacing w:val="0"/>
        <w:rPr>
          <w:b w:val="1"/>
          <w:sz w:val="24"/>
          <w:szCs w:val="24"/>
        </w:rPr>
      </w:pPr>
      <w:r w:rsidDel="00000000" w:rsidR="00000000" w:rsidRPr="00000000">
        <w:rPr>
          <w:rtl w:val="0"/>
        </w:rPr>
      </w:r>
    </w:p>
    <w:p w:rsidR="00000000" w:rsidDel="00000000" w:rsidP="00000000" w:rsidRDefault="00000000" w:rsidRPr="00000000" w14:paraId="000000C3">
      <w:pPr>
        <w:contextualSpacing w:val="0"/>
        <w:rPr>
          <w:b w:val="1"/>
          <w:sz w:val="24"/>
          <w:szCs w:val="24"/>
        </w:rPr>
      </w:pPr>
      <w:r w:rsidDel="00000000" w:rsidR="00000000" w:rsidRPr="00000000">
        <w:rPr>
          <w:rtl w:val="0"/>
        </w:rPr>
      </w:r>
    </w:p>
    <w:p w:rsidR="00000000" w:rsidDel="00000000" w:rsidP="00000000" w:rsidRDefault="00000000" w:rsidRPr="00000000" w14:paraId="000000C4">
      <w:pPr>
        <w:contextualSpacing w:val="0"/>
        <w:rPr>
          <w:b w:val="1"/>
          <w:sz w:val="24"/>
          <w:szCs w:val="24"/>
        </w:rPr>
      </w:pPr>
      <w:r w:rsidDel="00000000" w:rsidR="00000000" w:rsidRPr="00000000">
        <w:rPr>
          <w:rtl w:val="0"/>
        </w:rPr>
      </w:r>
    </w:p>
    <w:p w:rsidR="00000000" w:rsidDel="00000000" w:rsidP="00000000" w:rsidRDefault="00000000" w:rsidRPr="00000000" w14:paraId="000000C5">
      <w:pPr>
        <w:contextualSpacing w:val="0"/>
        <w:rPr>
          <w:b w:val="1"/>
          <w:sz w:val="24"/>
          <w:szCs w:val="24"/>
        </w:rPr>
      </w:pPr>
      <w:r w:rsidDel="00000000" w:rsidR="00000000" w:rsidRPr="00000000">
        <w:rPr>
          <w:rtl w:val="0"/>
        </w:rPr>
      </w:r>
    </w:p>
    <w:p w:rsidR="00000000" w:rsidDel="00000000" w:rsidP="00000000" w:rsidRDefault="00000000" w:rsidRPr="00000000" w14:paraId="000000C6">
      <w:pPr>
        <w:contextualSpacing w:val="0"/>
        <w:rPr>
          <w:b w:val="1"/>
          <w:sz w:val="24"/>
          <w:szCs w:val="24"/>
        </w:rPr>
      </w:pPr>
      <w:r w:rsidDel="00000000" w:rsidR="00000000" w:rsidRPr="00000000">
        <w:rPr>
          <w:rtl w:val="0"/>
        </w:rPr>
      </w:r>
    </w:p>
    <w:bookmarkStart w:colFirst="0" w:colLast="0" w:name="sjxgn5shaqpv" w:id="9"/>
    <w:bookmarkEnd w:id="9"/>
    <w:p w:rsidR="00000000" w:rsidDel="00000000" w:rsidP="00000000" w:rsidRDefault="00000000" w:rsidRPr="00000000" w14:paraId="000000C7">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C8">
      <w:pPr>
        <w:contextualSpacing w:val="0"/>
        <w:rPr>
          <w:b w:val="1"/>
          <w:sz w:val="24"/>
          <w:szCs w:val="24"/>
        </w:rPr>
      </w:pPr>
      <w:r w:rsidDel="00000000" w:rsidR="00000000" w:rsidRPr="00000000">
        <w:rPr>
          <w:rtl w:val="0"/>
        </w:rPr>
      </w:r>
    </w:p>
    <w:p w:rsidR="00000000" w:rsidDel="00000000" w:rsidP="00000000" w:rsidRDefault="00000000" w:rsidRPr="00000000" w14:paraId="000000C9">
      <w:pPr>
        <w:contextualSpacing w:val="0"/>
        <w:rPr>
          <w:b w:val="1"/>
          <w:sz w:val="24"/>
          <w:szCs w:val="24"/>
        </w:rPr>
      </w:pPr>
      <w:r w:rsidDel="00000000" w:rsidR="00000000" w:rsidRPr="00000000">
        <w:rPr>
          <w:rtl w:val="0"/>
        </w:rPr>
      </w:r>
    </w:p>
    <w:p w:rsidR="00000000" w:rsidDel="00000000" w:rsidP="00000000" w:rsidRDefault="00000000" w:rsidRPr="00000000" w14:paraId="000000CA">
      <w:pPr>
        <w:contextualSpacing w:val="0"/>
        <w:rPr>
          <w:b w:val="1"/>
          <w:sz w:val="24"/>
          <w:szCs w:val="24"/>
        </w:rPr>
      </w:pPr>
      <w:r w:rsidDel="00000000" w:rsidR="00000000" w:rsidRPr="00000000">
        <w:rPr>
          <w:rtl w:val="0"/>
        </w:rPr>
      </w:r>
    </w:p>
    <w:p w:rsidR="00000000" w:rsidDel="00000000" w:rsidP="00000000" w:rsidRDefault="00000000" w:rsidRPr="00000000" w14:paraId="000000CB">
      <w:pPr>
        <w:contextualSpacing w:val="0"/>
        <w:rPr>
          <w:b w:val="1"/>
          <w:sz w:val="24"/>
          <w:szCs w:val="24"/>
        </w:rPr>
      </w:pPr>
      <w:r w:rsidDel="00000000" w:rsidR="00000000" w:rsidRPr="00000000">
        <w:rPr>
          <w:rtl w:val="0"/>
        </w:rPr>
      </w:r>
    </w:p>
    <w:p w:rsidR="00000000" w:rsidDel="00000000" w:rsidP="00000000" w:rsidRDefault="00000000" w:rsidRPr="00000000" w14:paraId="000000CC">
      <w:pPr>
        <w:contextualSpacing w:val="0"/>
        <w:rPr>
          <w:b w:val="1"/>
          <w:sz w:val="24"/>
          <w:szCs w:val="24"/>
        </w:rPr>
      </w:pPr>
      <w:r w:rsidDel="00000000" w:rsidR="00000000" w:rsidRPr="00000000">
        <w:rPr>
          <w:rtl w:val="0"/>
        </w:rPr>
      </w:r>
    </w:p>
    <w:p w:rsidR="00000000" w:rsidDel="00000000" w:rsidP="00000000" w:rsidRDefault="00000000" w:rsidRPr="00000000" w14:paraId="000000CD">
      <w:pPr>
        <w:contextualSpacing w:val="0"/>
        <w:rPr>
          <w:b w:val="1"/>
          <w:sz w:val="24"/>
          <w:szCs w:val="24"/>
        </w:rPr>
      </w:pPr>
      <w:r w:rsidDel="00000000" w:rsidR="00000000" w:rsidRPr="00000000">
        <w:rPr>
          <w:rtl w:val="0"/>
        </w:rPr>
      </w:r>
    </w:p>
    <w:p w:rsidR="00000000" w:rsidDel="00000000" w:rsidP="00000000" w:rsidRDefault="00000000" w:rsidRPr="00000000" w14:paraId="000000CE">
      <w:pPr>
        <w:contextualSpacing w:val="0"/>
        <w:rPr>
          <w:b w:val="1"/>
          <w:sz w:val="24"/>
          <w:szCs w:val="24"/>
        </w:rPr>
      </w:pPr>
      <w:r w:rsidDel="00000000" w:rsidR="00000000" w:rsidRPr="00000000">
        <w:rPr>
          <w:rtl w:val="0"/>
        </w:rPr>
      </w:r>
    </w:p>
    <w:p w:rsidR="00000000" w:rsidDel="00000000" w:rsidP="00000000" w:rsidRDefault="00000000" w:rsidRPr="00000000" w14:paraId="000000CF">
      <w:pPr>
        <w:contextualSpacing w:val="0"/>
        <w:rPr>
          <w:b w:val="1"/>
          <w:sz w:val="24"/>
          <w:szCs w:val="24"/>
        </w:rPr>
      </w:pPr>
      <w:r w:rsidDel="00000000" w:rsidR="00000000" w:rsidRPr="00000000">
        <w:rPr>
          <w:rtl w:val="0"/>
        </w:rPr>
      </w:r>
    </w:p>
    <w:p w:rsidR="00000000" w:rsidDel="00000000" w:rsidP="00000000" w:rsidRDefault="00000000" w:rsidRPr="00000000" w14:paraId="000000D0">
      <w:pPr>
        <w:contextualSpacing w:val="0"/>
        <w:rPr>
          <w:b w:val="1"/>
          <w:sz w:val="24"/>
          <w:szCs w:val="24"/>
        </w:rPr>
      </w:pPr>
      <w:r w:rsidDel="00000000" w:rsidR="00000000" w:rsidRPr="00000000">
        <w:rPr>
          <w:rtl w:val="0"/>
        </w:rPr>
      </w:r>
    </w:p>
    <w:p w:rsidR="00000000" w:rsidDel="00000000" w:rsidP="00000000" w:rsidRDefault="00000000" w:rsidRPr="00000000" w14:paraId="000000D1">
      <w:pPr>
        <w:contextualSpacing w:val="0"/>
        <w:rPr>
          <w:b w:val="1"/>
          <w:sz w:val="24"/>
          <w:szCs w:val="24"/>
        </w:rPr>
      </w:pPr>
      <w:r w:rsidDel="00000000" w:rsidR="00000000" w:rsidRPr="00000000">
        <w:rPr>
          <w:rtl w:val="0"/>
        </w:rPr>
      </w:r>
    </w:p>
    <w:p w:rsidR="00000000" w:rsidDel="00000000" w:rsidP="00000000" w:rsidRDefault="00000000" w:rsidRPr="00000000" w14:paraId="000000D2">
      <w:pPr>
        <w:contextualSpacing w:val="0"/>
        <w:rPr>
          <w:b w:val="1"/>
          <w:sz w:val="24"/>
          <w:szCs w:val="24"/>
        </w:rPr>
      </w:pPr>
      <w:r w:rsidDel="00000000" w:rsidR="00000000" w:rsidRPr="00000000">
        <w:rPr>
          <w:rtl w:val="0"/>
        </w:rPr>
      </w:r>
    </w:p>
    <w:p w:rsidR="00000000" w:rsidDel="00000000" w:rsidP="00000000" w:rsidRDefault="00000000" w:rsidRPr="00000000" w14:paraId="000000D3">
      <w:pPr>
        <w:contextualSpacing w:val="0"/>
        <w:rPr>
          <w:b w:val="1"/>
          <w:sz w:val="24"/>
          <w:szCs w:val="24"/>
        </w:rPr>
      </w:pPr>
      <w:r w:rsidDel="00000000" w:rsidR="00000000" w:rsidRPr="00000000">
        <w:rPr>
          <w:rtl w:val="0"/>
        </w:rPr>
      </w:r>
    </w:p>
    <w:p w:rsidR="00000000" w:rsidDel="00000000" w:rsidP="00000000" w:rsidRDefault="00000000" w:rsidRPr="00000000" w14:paraId="000000D4">
      <w:pPr>
        <w:contextualSpacing w:val="0"/>
        <w:rPr>
          <w:b w:val="1"/>
          <w:sz w:val="24"/>
          <w:szCs w:val="24"/>
        </w:rPr>
      </w:pPr>
      <w:r w:rsidDel="00000000" w:rsidR="00000000" w:rsidRPr="00000000">
        <w:rPr>
          <w:rtl w:val="0"/>
        </w:rPr>
      </w:r>
    </w:p>
    <w:p w:rsidR="00000000" w:rsidDel="00000000" w:rsidP="00000000" w:rsidRDefault="00000000" w:rsidRPr="00000000" w14:paraId="000000D5">
      <w:pPr>
        <w:contextualSpacing w:val="0"/>
        <w:rPr>
          <w:b w:val="1"/>
          <w:sz w:val="24"/>
          <w:szCs w:val="24"/>
        </w:rPr>
      </w:pPr>
      <w:r w:rsidDel="00000000" w:rsidR="00000000" w:rsidRPr="00000000">
        <w:rPr>
          <w:rtl w:val="0"/>
        </w:rPr>
      </w:r>
    </w:p>
    <w:p w:rsidR="00000000" w:rsidDel="00000000" w:rsidP="00000000" w:rsidRDefault="00000000" w:rsidRPr="00000000" w14:paraId="000000D6">
      <w:pPr>
        <w:contextualSpacing w:val="0"/>
        <w:rPr>
          <w:b w:val="1"/>
          <w:sz w:val="24"/>
          <w:szCs w:val="24"/>
        </w:rPr>
      </w:pPr>
      <w:r w:rsidDel="00000000" w:rsidR="00000000" w:rsidRPr="00000000">
        <w:rPr>
          <w:rtl w:val="0"/>
        </w:rPr>
      </w:r>
    </w:p>
    <w:p w:rsidR="00000000" w:rsidDel="00000000" w:rsidP="00000000" w:rsidRDefault="00000000" w:rsidRPr="00000000" w14:paraId="000000D7">
      <w:pPr>
        <w:contextualSpacing w:val="0"/>
        <w:rPr>
          <w:b w:val="1"/>
          <w:sz w:val="24"/>
          <w:szCs w:val="24"/>
        </w:rPr>
      </w:pPr>
      <w:r w:rsidDel="00000000" w:rsidR="00000000" w:rsidRPr="00000000">
        <w:rPr>
          <w:rtl w:val="0"/>
        </w:rPr>
      </w:r>
    </w:p>
    <w:p w:rsidR="00000000" w:rsidDel="00000000" w:rsidP="00000000" w:rsidRDefault="00000000" w:rsidRPr="00000000" w14:paraId="000000D8">
      <w:pPr>
        <w:contextualSpacing w:val="0"/>
        <w:rPr>
          <w:b w:val="1"/>
          <w:sz w:val="24"/>
          <w:szCs w:val="24"/>
        </w:rPr>
      </w:pPr>
      <w:r w:rsidDel="00000000" w:rsidR="00000000" w:rsidRPr="00000000">
        <w:rPr>
          <w:rtl w:val="0"/>
        </w:rPr>
      </w:r>
    </w:p>
    <w:p w:rsidR="00000000" w:rsidDel="00000000" w:rsidP="00000000" w:rsidRDefault="00000000" w:rsidRPr="00000000" w14:paraId="000000D9">
      <w:pPr>
        <w:contextualSpacing w:val="0"/>
        <w:rPr>
          <w:b w:val="1"/>
          <w:sz w:val="24"/>
          <w:szCs w:val="24"/>
        </w:rPr>
      </w:pPr>
      <w:r w:rsidDel="00000000" w:rsidR="00000000" w:rsidRPr="00000000">
        <w:rPr>
          <w:rtl w:val="0"/>
        </w:rPr>
      </w:r>
    </w:p>
    <w:p w:rsidR="00000000" w:rsidDel="00000000" w:rsidP="00000000" w:rsidRDefault="00000000" w:rsidRPr="00000000" w14:paraId="000000DA">
      <w:pPr>
        <w:contextualSpacing w:val="0"/>
        <w:rPr>
          <w:b w:val="1"/>
          <w:sz w:val="24"/>
          <w:szCs w:val="24"/>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rtl w:val="0"/>
        </w:rPr>
      </w:r>
    </w:p>
    <w:bookmarkStart w:colFirst="0" w:colLast="0" w:name="6r88flfd554k" w:id="10"/>
    <w:bookmarkEnd w:id="10"/>
    <w:p w:rsidR="00000000" w:rsidDel="00000000" w:rsidP="00000000" w:rsidRDefault="00000000" w:rsidRPr="00000000" w14:paraId="000000DC">
      <w:pPr>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DD">
      <w:pPr>
        <w:contextualSpacing w:val="0"/>
        <w:rPr>
          <w:sz w:val="21"/>
          <w:szCs w:val="21"/>
        </w:rPr>
      </w:pPr>
      <w:r w:rsidDel="00000000" w:rsidR="00000000" w:rsidRPr="00000000">
        <w:rPr>
          <w:rtl w:val="0"/>
        </w:rPr>
      </w:r>
    </w:p>
    <w:p w:rsidR="00000000" w:rsidDel="00000000" w:rsidP="00000000" w:rsidRDefault="00000000" w:rsidRPr="00000000" w14:paraId="000000DE">
      <w:pPr>
        <w:contextualSpacing w:val="0"/>
        <w:rPr>
          <w:sz w:val="21"/>
          <w:szCs w:val="21"/>
        </w:rPr>
      </w:pPr>
      <w:r w:rsidDel="00000000" w:rsidR="00000000" w:rsidRPr="00000000">
        <w:rPr>
          <w:sz w:val="21"/>
          <w:szCs w:val="21"/>
          <w:rtl w:val="0"/>
        </w:rPr>
        <w:t xml:space="preserve">Kostadinov, T. S., Siegel, D. A., &amp; Maritorena, S. (2009). Retrieval of the particle size distribution from satellite ocean color observations. Journal of Geophysical Research, 114(C9). </w:t>
      </w:r>
      <w:hyperlink r:id="rId18">
        <w:r w:rsidDel="00000000" w:rsidR="00000000" w:rsidRPr="00000000">
          <w:rPr>
            <w:color w:val="1155cc"/>
            <w:sz w:val="21"/>
            <w:szCs w:val="21"/>
            <w:u w:val="single"/>
            <w:rtl w:val="0"/>
          </w:rPr>
          <w:t xml:space="preserve">https://doi.org/10.1029/2009jc005303</w:t>
        </w:r>
      </w:hyperlink>
      <w:r w:rsidDel="00000000" w:rsidR="00000000" w:rsidRPr="00000000">
        <w:rPr>
          <w:rtl w:val="0"/>
        </w:rPr>
      </w:r>
    </w:p>
    <w:p w:rsidR="00000000" w:rsidDel="00000000" w:rsidP="00000000" w:rsidRDefault="00000000" w:rsidRPr="00000000" w14:paraId="000000DF">
      <w:pPr>
        <w:contextualSpacing w:val="0"/>
        <w:rPr>
          <w:sz w:val="21"/>
          <w:szCs w:val="21"/>
        </w:rPr>
      </w:pPr>
      <w:r w:rsidDel="00000000" w:rsidR="00000000" w:rsidRPr="00000000">
        <w:rPr>
          <w:rtl w:val="0"/>
        </w:rPr>
      </w:r>
    </w:p>
    <w:p w:rsidR="00000000" w:rsidDel="00000000" w:rsidP="00000000" w:rsidRDefault="00000000" w:rsidRPr="00000000" w14:paraId="000000E0">
      <w:pPr>
        <w:contextualSpacing w:val="0"/>
        <w:rPr>
          <w:sz w:val="21"/>
          <w:szCs w:val="21"/>
        </w:rPr>
      </w:pPr>
      <w:r w:rsidDel="00000000" w:rsidR="00000000" w:rsidRPr="00000000">
        <w:rPr>
          <w:sz w:val="21"/>
          <w:szCs w:val="21"/>
          <w:rtl w:val="0"/>
        </w:rPr>
        <w:t xml:space="preserve">Kostadinov, T. S., Milutinovic, S., Marinov, I., &amp; Cabré, A. (2016). Size-partitioned phytoplankton carbon concentrations retrieved from ocean color data, links to data in NetCDF format, supplement to: Kostadinov, Tihomir S; Milutinovic, Svetlana; Marinov, Irina; Cabré, Anna (2016): Carbon-based phytoplankton size classes retrieved via ocean color estimates of the particle size distribution. Ocean Science, 12(2), 561-575 [Data set]. PANGAEA - Data Publisher for Earth &amp; Environmental Science. </w:t>
      </w:r>
      <w:hyperlink r:id="rId19">
        <w:r w:rsidDel="00000000" w:rsidR="00000000" w:rsidRPr="00000000">
          <w:rPr>
            <w:color w:val="1155cc"/>
            <w:sz w:val="21"/>
            <w:szCs w:val="21"/>
            <w:u w:val="single"/>
            <w:rtl w:val="0"/>
          </w:rPr>
          <w:t xml:space="preserve">https://doi.org/10.1594/pangaea.859005</w:t>
        </w:r>
      </w:hyperlink>
      <w:r w:rsidDel="00000000" w:rsidR="00000000" w:rsidRPr="00000000">
        <w:rPr>
          <w:rtl w:val="0"/>
        </w:rPr>
      </w:r>
    </w:p>
    <w:p w:rsidR="00000000" w:rsidDel="00000000" w:rsidP="00000000" w:rsidRDefault="00000000" w:rsidRPr="00000000" w14:paraId="000000E1">
      <w:pPr>
        <w:contextualSpacing w:val="0"/>
        <w:rPr>
          <w:sz w:val="21"/>
          <w:szCs w:val="21"/>
        </w:rPr>
      </w:pPr>
      <w:r w:rsidDel="00000000" w:rsidR="00000000" w:rsidRPr="00000000">
        <w:rPr>
          <w:rtl w:val="0"/>
        </w:rPr>
      </w:r>
    </w:p>
    <w:p w:rsidR="00000000" w:rsidDel="00000000" w:rsidP="00000000" w:rsidRDefault="00000000" w:rsidRPr="00000000" w14:paraId="000000E2">
      <w:pPr>
        <w:contextualSpacing w:val="0"/>
        <w:rPr>
          <w:sz w:val="21"/>
          <w:szCs w:val="21"/>
        </w:rPr>
      </w:pPr>
      <w:r w:rsidDel="00000000" w:rsidR="00000000" w:rsidRPr="00000000">
        <w:rPr>
          <w:sz w:val="21"/>
          <w:szCs w:val="21"/>
          <w:rtl w:val="0"/>
        </w:rPr>
        <w:t xml:space="preserve">Nayar, K. G., Sharqawy, M. H., Banchik, L. D., &amp; Lienhard V, J. H. (2016). Thermophysical properties of seawater: A review and new correlations that include pressure dependence. Desalination, 390, 1–24. </w:t>
      </w:r>
      <w:hyperlink r:id="rId20">
        <w:r w:rsidDel="00000000" w:rsidR="00000000" w:rsidRPr="00000000">
          <w:rPr>
            <w:color w:val="1155cc"/>
            <w:sz w:val="21"/>
            <w:szCs w:val="21"/>
            <w:u w:val="single"/>
            <w:rtl w:val="0"/>
          </w:rPr>
          <w:t xml:space="preserve">https://doi.org/10.1016/j.desal.2016.02.024</w:t>
        </w:r>
      </w:hyperlink>
      <w:r w:rsidDel="00000000" w:rsidR="00000000" w:rsidRPr="00000000">
        <w:rPr>
          <w:rtl w:val="0"/>
        </w:rPr>
      </w:r>
    </w:p>
    <w:p w:rsidR="00000000" w:rsidDel="00000000" w:rsidP="00000000" w:rsidRDefault="00000000" w:rsidRPr="00000000" w14:paraId="000000E3">
      <w:pPr>
        <w:contextualSpacing w:val="0"/>
        <w:rPr>
          <w:sz w:val="21"/>
          <w:szCs w:val="21"/>
        </w:rPr>
      </w:pPr>
      <w:r w:rsidDel="00000000" w:rsidR="00000000" w:rsidRPr="00000000">
        <w:rPr>
          <w:rtl w:val="0"/>
        </w:rPr>
      </w:r>
    </w:p>
    <w:p w:rsidR="00000000" w:rsidDel="00000000" w:rsidP="00000000" w:rsidRDefault="00000000" w:rsidRPr="00000000" w14:paraId="000000E4">
      <w:pPr>
        <w:contextualSpacing w:val="0"/>
        <w:rPr>
          <w:sz w:val="21"/>
          <w:szCs w:val="21"/>
        </w:rPr>
      </w:pPr>
      <w:r w:rsidDel="00000000" w:rsidR="00000000" w:rsidRPr="00000000">
        <w:rPr>
          <w:sz w:val="21"/>
          <w:szCs w:val="21"/>
          <w:rtl w:val="0"/>
        </w:rPr>
        <w:t xml:space="preserve">Sharqawy, M. H., Lienhard V, J. H., Zubair, S. M. (2010). Thermophysical Properties of seawater: A review of existing correlations and data. Desalination and Water Treatment, 16, 354-380.</w:t>
      </w:r>
    </w:p>
    <w:p w:rsidR="00000000" w:rsidDel="00000000" w:rsidP="00000000" w:rsidRDefault="00000000" w:rsidRPr="00000000" w14:paraId="000000E5">
      <w:pPr>
        <w:contextualSpacing w:val="0"/>
        <w:rPr>
          <w:sz w:val="21"/>
          <w:szCs w:val="21"/>
        </w:rPr>
      </w:pPr>
      <w:hyperlink r:id="rId21">
        <w:r w:rsidDel="00000000" w:rsidR="00000000" w:rsidRPr="00000000">
          <w:rPr>
            <w:color w:val="1155cc"/>
            <w:sz w:val="21"/>
            <w:szCs w:val="21"/>
            <w:u w:val="single"/>
            <w:rtl w:val="0"/>
          </w:rPr>
          <w:t xml:space="preserve">http://web.mit.edu/lienhard/www/Thermophysical_properties_of_seawater-DWT-16-354-2010.pdf</w:t>
        </w:r>
      </w:hyperlink>
      <w:r w:rsidDel="00000000" w:rsidR="00000000" w:rsidRPr="00000000">
        <w:rPr>
          <w:rtl w:val="0"/>
        </w:rPr>
      </w:r>
    </w:p>
    <w:p w:rsidR="00000000" w:rsidDel="00000000" w:rsidP="00000000" w:rsidRDefault="00000000" w:rsidRPr="00000000" w14:paraId="000000E6">
      <w:pPr>
        <w:contextualSpacing w:val="0"/>
        <w:rPr>
          <w:sz w:val="21"/>
          <w:szCs w:val="21"/>
        </w:rPr>
      </w:pPr>
      <w:r w:rsidDel="00000000" w:rsidR="00000000" w:rsidRPr="00000000">
        <w:rPr>
          <w:rtl w:val="0"/>
        </w:rPr>
      </w:r>
    </w:p>
    <w:p w:rsidR="00000000" w:rsidDel="00000000" w:rsidP="00000000" w:rsidRDefault="00000000" w:rsidRPr="00000000" w14:paraId="000000E7">
      <w:pPr>
        <w:contextualSpacing w:val="0"/>
        <w:rPr>
          <w:sz w:val="21"/>
          <w:szCs w:val="21"/>
        </w:rPr>
      </w:pPr>
      <w:r w:rsidDel="00000000" w:rsidR="00000000" w:rsidRPr="00000000">
        <w:rPr>
          <w:sz w:val="21"/>
          <w:szCs w:val="21"/>
          <w:rtl w:val="0"/>
        </w:rPr>
        <w:t xml:space="preserve">Siegel, D. A., Buesseler, K. O., Doney, S. C., Sailley, S. F., Behrenfeld, M. J., &amp; Boyd, P. W. (2014). Global assessment of ocean carbon export by combining satellite observations and food-web models. Global Biogeochemical Cycles, 28(3), 181–196. </w:t>
      </w:r>
      <w:hyperlink r:id="rId22">
        <w:r w:rsidDel="00000000" w:rsidR="00000000" w:rsidRPr="00000000">
          <w:rPr>
            <w:color w:val="1155cc"/>
            <w:sz w:val="21"/>
            <w:szCs w:val="21"/>
            <w:u w:val="single"/>
            <w:rtl w:val="0"/>
          </w:rPr>
          <w:t xml:space="preserve">https://doi.org/10.1002/2013gb004743</w:t>
        </w:r>
      </w:hyperlink>
      <w:r w:rsidDel="00000000" w:rsidR="00000000" w:rsidRPr="00000000">
        <w:rPr>
          <w:rtl w:val="0"/>
        </w:rPr>
      </w:r>
    </w:p>
    <w:p w:rsidR="00000000" w:rsidDel="00000000" w:rsidP="00000000" w:rsidRDefault="00000000" w:rsidRPr="00000000" w14:paraId="000000E8">
      <w:pPr>
        <w:contextualSpacing w:val="0"/>
        <w:rPr>
          <w:sz w:val="21"/>
          <w:szCs w:val="2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desal.2016.02.024" TargetMode="External"/><Relationship Id="rId11" Type="http://schemas.openxmlformats.org/officeDocument/2006/relationships/image" Target="media/image18.png"/><Relationship Id="rId22" Type="http://schemas.openxmlformats.org/officeDocument/2006/relationships/hyperlink" Target="https://doi.org/10.1002/2013gb004743" TargetMode="External"/><Relationship Id="rId10" Type="http://schemas.openxmlformats.org/officeDocument/2006/relationships/image" Target="media/image13.png"/><Relationship Id="rId21" Type="http://schemas.openxmlformats.org/officeDocument/2006/relationships/hyperlink" Target="http://web.mit.edu/lienhard/www/Thermophysical_properties_of_seawater-DWT-16-354-2010.pdf" TargetMode="External"/><Relationship Id="rId13" Type="http://schemas.openxmlformats.org/officeDocument/2006/relationships/image" Target="media/image2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hyperlink" Target="https://doi.org/10.1594/pangaea.859005" TargetMode="External"/><Relationship Id="rId6" Type="http://schemas.openxmlformats.org/officeDocument/2006/relationships/image" Target="media/image16.png"/><Relationship Id="rId18" Type="http://schemas.openxmlformats.org/officeDocument/2006/relationships/hyperlink" Target="https://doi.org/10.1029/2009jc005303" TargetMode="External"/><Relationship Id="rId7" Type="http://schemas.openxmlformats.org/officeDocument/2006/relationships/image" Target="media/image23.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