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Athena Research Journey and Decision Trail</w:t>
      </w:r>
    </w:p>
    <w:p>
      <w:pPr>
        <w:jc w:val="center"/>
      </w:pPr>
      <w:r>
        <w:rPr>
          <w:i/>
          <w:sz w:val="22"/>
        </w:rPr>
        <w:t>How each question led to the next</w:t>
      </w:r>
    </w:p>
    <w:p/>
    <w:p>
      <w:pPr>
        <w:pStyle w:val="Heading1"/>
      </w:pPr>
      <w:r>
        <w:t>1. Original thesis</w:t>
      </w:r>
    </w:p>
    <w:p>
      <w:pPr>
        <w:pStyle w:val="Heading2"/>
      </w:pPr>
      <w:r>
        <w:t>Starting point</w:t>
      </w:r>
    </w:p>
    <w:p>
      <w:r>
        <w:t>Athena begins with a student-empowerment idea: students should understand where they are, what comes next, and when they need help.</w:t>
      </w:r>
    </w:p>
    <w:p>
      <w:pPr>
        <w:pStyle w:val="Heading2"/>
      </w:pPr>
      <w:r>
        <w:t>What changed</w:t>
      </w:r>
    </w:p>
    <w:p>
      <w:r>
        <w:t>The concept initially risked being too broad. “Student advising” contains many users, workflows, systems, and institutional buyers.</w:t>
      </w:r>
    </w:p>
    <w:p>
      <w:pPr>
        <w:pStyle w:val="Heading2"/>
      </w:pPr>
      <w:r>
        <w:t>Question created</w:t>
      </w:r>
    </w:p>
    <w:p>
      <w:r>
        <w:t>What exact student problem is painful, frequent, measurable, and suitable for a small test?</w:t>
      </w:r>
    </w:p>
    <w:p>
      <w:pPr>
        <w:pStyle w:val="Heading1"/>
      </w:pPr>
      <w:r>
        <w:t>2. Reconstruct the advising problem</w:t>
      </w:r>
    </w:p>
    <w:p>
      <w:pPr>
        <w:pStyle w:val="Heading2"/>
      </w:pPr>
      <w:r>
        <w:t>Starting point</w:t>
      </w:r>
    </w:p>
    <w:p>
      <w:r>
        <w:t>Research reframed the problem from lack of information to lack of usable decision clarity. Students already have portals, audits, emails, policies, and advisors—but must synthesize them.</w:t>
      </w:r>
    </w:p>
    <w:p>
      <w:pPr>
        <w:pStyle w:val="Heading2"/>
      </w:pPr>
      <w:r>
        <w:t>What changed</w:t>
      </w:r>
    </w:p>
    <w:p>
      <w:r>
        <w:t>The product hypothesis narrowed toward translation and prioritization rather than another system of record.</w:t>
      </w:r>
    </w:p>
    <w:p>
      <w:pPr>
        <w:pStyle w:val="Heading2"/>
      </w:pPr>
      <w:r>
        <w:t>Question created</w:t>
      </w:r>
    </w:p>
    <w:p>
      <w:r>
        <w:t>Which student segment experiences the strongest combination of pain, urgency, actionability, and measurable consequence?</w:t>
      </w:r>
    </w:p>
    <w:p>
      <w:pPr>
        <w:pStyle w:val="Heading1"/>
      </w:pPr>
      <w:r>
        <w:t>3. Compare student segments</w:t>
      </w:r>
    </w:p>
    <w:p>
      <w:pPr>
        <w:pStyle w:val="Heading2"/>
      </w:pPr>
      <w:r>
        <w:t>Starting point</w:t>
      </w:r>
    </w:p>
    <w:p>
      <w:r>
        <w:t>The analysis compared first-year students, first-generation students, student athletes, transfer students, major changers, probation students, and near-graduation students.</w:t>
      </w:r>
    </w:p>
    <w:p>
      <w:pPr>
        <w:pStyle w:val="Heading2"/>
      </w:pPr>
      <w:r>
        <w:t>What changed</w:t>
      </w:r>
    </w:p>
    <w:p>
      <w:r>
        <w:t>Transfer students emerged as the strongest general segment because credit applicability, fragmented records, and time-sensitive registration decisions create visible consequences.</w:t>
      </w:r>
    </w:p>
    <w:p>
      <w:pPr>
        <w:pStyle w:val="Heading2"/>
      </w:pPr>
      <w:r>
        <w:t>Question created</w:t>
      </w:r>
    </w:p>
    <w:p>
      <w:r>
        <w:t>Can this segment be narrowed enough to test in one semester at a real institution?</w:t>
      </w:r>
    </w:p>
    <w:p>
      <w:pPr>
        <w:pStyle w:val="Heading1"/>
      </w:pPr>
      <w:r>
        <w:t>4. Validate at UL Lafayette</w:t>
      </w:r>
    </w:p>
    <w:p>
      <w:pPr>
        <w:pStyle w:val="Heading2"/>
      </w:pPr>
      <w:r>
        <w:t>Starting point</w:t>
      </w:r>
    </w:p>
    <w:p>
      <w:r>
        <w:t>Institutional research mapped UL Lafayette leadership, advising handoffs, Banner, DegreeWorks, ULink, Student Success Manager, transfer-credit processes, and procurement constraints.</w:t>
      </w:r>
    </w:p>
    <w:p>
      <w:pPr>
        <w:pStyle w:val="Heading2"/>
      </w:pPr>
      <w:r>
        <w:t>What changed</w:t>
      </w:r>
    </w:p>
    <w:p>
      <w:r>
        <w:t>The broad transfer segment narrowed to first-semester transfers with 30–60 credits and at least one unresolved equivalency or fallthrough credit.</w:t>
      </w:r>
    </w:p>
    <w:p>
      <w:pPr>
        <w:pStyle w:val="Heading2"/>
      </w:pPr>
      <w:r>
        <w:t>Question created</w:t>
      </w:r>
    </w:p>
    <w:p>
      <w:r>
        <w:t>What is the smallest product and smallest data footprint that can test the behavior?</w:t>
      </w:r>
    </w:p>
    <w:p>
      <w:pPr>
        <w:pStyle w:val="Heading1"/>
      </w:pPr>
      <w:r>
        <w:t>5. Define the smallest useful experience</w:t>
      </w:r>
    </w:p>
    <w:p>
      <w:pPr>
        <w:pStyle w:val="Heading2"/>
      </w:pPr>
      <w:r>
        <w:t>Starting point</w:t>
      </w:r>
    </w:p>
    <w:p>
      <w:r>
        <w:t>The work converged on three panels: My Position, My Next Three Moves, and My Blockers, with advisor-verified actions and no automated academic decisions.</w:t>
      </w:r>
    </w:p>
    <w:p>
      <w:pPr>
        <w:pStyle w:val="Heading2"/>
      </w:pPr>
      <w:r>
        <w:t>What changed</w:t>
      </w:r>
    </w:p>
    <w:p>
      <w:r>
        <w:t>This is a decision-clarity layer, not a replacement for advisors, Banner, DegreeWorks, or professional judgment.</w:t>
      </w:r>
    </w:p>
    <w:p>
      <w:pPr>
        <w:pStyle w:val="Heading2"/>
      </w:pPr>
      <w:r>
        <w:t>Question created</w:t>
      </w:r>
    </w:p>
    <w:p>
      <w:r>
        <w:t>Can a concierge prototype or secure extract improve accuracy, speed, confidence, and completion of one correct action?</w:t>
      </w:r>
    </w:p>
    <w:p>
      <w:pPr>
        <w:pStyle w:val="Heading1"/>
      </w:pPr>
      <w:r>
        <w:t>6. Design the pilot</w:t>
      </w:r>
    </w:p>
    <w:p>
      <w:pPr>
        <w:pStyle w:val="Heading2"/>
      </w:pPr>
      <w:r>
        <w:t>Starting point</w:t>
      </w:r>
    </w:p>
    <w:p>
      <w:r>
        <w:t>The proposed progression is baseline observation, prototype usability testing, then a behavioral pilot during a registration advising window.</w:t>
      </w:r>
    </w:p>
    <w:p>
      <w:pPr>
        <w:pStyle w:val="Heading2"/>
      </w:pPr>
      <w:r>
        <w:t>What changed</w:t>
      </w:r>
    </w:p>
    <w:p>
      <w:r>
        <w:t>The core proof is behavioral: can the student identify and complete the right next action with fewer corrections and less system switching?</w:t>
      </w:r>
    </w:p>
    <w:p>
      <w:pPr>
        <w:pStyle w:val="Heading2"/>
      </w:pPr>
      <w:r>
        <w:t>Question created</w:t>
      </w:r>
    </w:p>
    <w:p>
      <w:r>
        <w:t>Which go-to-market entry point should be tested first, and what desirability evidence is required before building?</w:t>
      </w:r>
    </w:p>
    <w:p>
      <w:pPr>
        <w:pStyle w:val="Heading1"/>
      </w:pPr>
      <w:r>
        <w:t>7. Reopen the customer question</w:t>
      </w:r>
    </w:p>
    <w:p>
      <w:pPr>
        <w:pStyle w:val="Heading2"/>
      </w:pPr>
      <w:r>
        <w:t>Starting point</w:t>
      </w:r>
    </w:p>
    <w:p>
      <w:r>
        <w:t>Later discussion introduced community colleges and university recruiters as potentially faster, lighter-weight entry points.</w:t>
      </w:r>
    </w:p>
    <w:p>
      <w:pPr>
        <w:pStyle w:val="Heading2"/>
      </w:pPr>
      <w:r>
        <w:t>What changed</w:t>
      </w:r>
    </w:p>
    <w:p>
      <w:r>
        <w:t>These are credible strategic options, but they represent different customers, workflows, data, and value propositions.</w:t>
      </w:r>
    </w:p>
    <w:p>
      <w:pPr>
        <w:pStyle w:val="Heading2"/>
      </w:pPr>
      <w:r>
        <w:t>Question created</w:t>
      </w:r>
    </w:p>
    <w:p>
      <w:r>
        <w:t>Which option best preserves Athena’s core thesis while creating the fastest credible learning loop?</w:t>
      </w:r>
    </w:p>
    <w:p>
      <w:pPr>
        <w:pStyle w:val="Heading1"/>
      </w:pPr>
      <w:r>
        <w:t>The logic in one line</w:t>
      </w:r>
    </w:p>
    <w:p>
      <w:r>
        <w:t>Broad student empowerment → advising decision clarity → transfer-student pain → UL Lafayette workflow → minimal student view → concierge/extract pilot → compare entry markets without losing the core thesis.</w:t>
      </w:r>
    </w:p>
    <w:p>
      <w:pPr>
        <w:pStyle w:val="Heading1"/>
      </w:pPr>
      <w:r>
        <w:t>Important interpretation boundary</w:t>
      </w:r>
    </w:p>
    <w:p>
      <w:r>
        <w:t>The source reports mix directly sourced facts, institution-reported practices, literature-based findings, and strategic inference. The evidence register should be used before treating any strategic conclusion as established fact.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