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Athena Customer and Go-to-Market Options</w:t>
      </w:r>
    </w:p>
    <w:p>
      <w:pPr>
        <w:jc w:val="center"/>
      </w:pPr>
      <w:r>
        <w:rPr>
          <w:i/>
          <w:sz w:val="22"/>
        </w:rPr>
        <w:t>Digestible choices for founder discussion</w:t>
      </w:r>
    </w:p>
    <w:p/>
    <w:p>
      <w:r>
        <w:t>These options are not mutually exclusive forever. The decision is which learning loop to run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8F5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656"/>
            <w:shd w:fill="D9E8F5"/>
          </w:tcPr>
          <w:p>
            <w:r>
              <w:rPr>
                <w:b/>
              </w:rPr>
              <w:t>First user</w:t>
            </w:r>
          </w:p>
        </w:tc>
        <w:tc>
          <w:tcPr>
            <w:tcW w:type="dxa" w:w="1656"/>
            <w:shd w:fill="D9E8F5"/>
          </w:tcPr>
          <w:p>
            <w:r>
              <w:rPr>
                <w:b/>
              </w:rPr>
              <w:t>Value proposition</w:t>
            </w:r>
          </w:p>
        </w:tc>
        <w:tc>
          <w:tcPr>
            <w:tcW w:type="dxa" w:w="1656"/>
            <w:shd w:fill="D9E8F5"/>
          </w:tcPr>
          <w:p>
            <w:r>
              <w:rPr>
                <w:b/>
              </w:rPr>
              <w:t>Why consider it</w:t>
            </w:r>
          </w:p>
        </w:tc>
        <w:tc>
          <w:tcPr>
            <w:tcW w:type="dxa" w:w="1656"/>
            <w:shd w:fill="D9E8F5"/>
          </w:tcPr>
          <w:p>
            <w:r>
              <w:rPr>
                <w:b/>
              </w:rPr>
              <w:t>Primary risk</w:t>
            </w:r>
          </w:p>
        </w:tc>
        <w:tc>
          <w:tcPr>
            <w:tcW w:type="dxa" w:w="1656"/>
            <w:shd w:fill="D9E8F5"/>
          </w:tcPr>
          <w:p>
            <w:r>
              <w:rPr>
                <w:b/>
              </w:rPr>
              <w:t>Current view</w:t>
            </w:r>
          </w:p>
        </w:tc>
      </w:tr>
      <w:tr>
        <w:tc>
          <w:tcPr>
            <w:tcW w:type="dxa" w:w="1656"/>
          </w:tcPr>
          <w:p>
            <w:r>
              <w:t>A. UL Lafayette transfer advising pilot</w:t>
            </w:r>
          </w:p>
        </w:tc>
        <w:tc>
          <w:tcPr>
            <w:tcW w:type="dxa" w:w="1656"/>
          </w:tcPr>
          <w:p>
            <w:r>
              <w:t>First-semester transfer students, 30–60 credits, unresolved equivalencies</w:t>
            </w:r>
          </w:p>
        </w:tc>
        <w:tc>
          <w:tcPr>
            <w:tcW w:type="dxa" w:w="1656"/>
          </w:tcPr>
          <w:p>
            <w:r>
              <w:t>Student clarity + advisor preparation + institutional retention value</w:t>
            </w:r>
          </w:p>
        </w:tc>
        <w:tc>
          <w:tcPr>
            <w:tcW w:type="dxa" w:w="1656"/>
          </w:tcPr>
          <w:p>
            <w:r>
              <w:t>Deepest research base; measurable within a registration window</w:t>
            </w:r>
          </w:p>
        </w:tc>
        <w:tc>
          <w:tcPr>
            <w:tcW w:type="dxa" w:w="1656"/>
          </w:tcPr>
          <w:p>
            <w:r>
              <w:t>Institutional access, governance, data latency, slow sponsorship</w:t>
            </w:r>
          </w:p>
        </w:tc>
        <w:tc>
          <w:tcPr>
            <w:tcW w:type="dxa" w:w="1656"/>
          </w:tcPr>
          <w:p>
            <w:r>
              <w:t>Highest evidence / moderate speed</w:t>
            </w:r>
          </w:p>
        </w:tc>
      </w:tr>
      <w:tr>
        <w:tc>
          <w:tcPr>
            <w:tcW w:type="dxa" w:w="1656"/>
          </w:tcPr>
          <w:p>
            <w:r>
              <w:t>B. Community-college pathway bridge</w:t>
            </w:r>
          </w:p>
        </w:tc>
        <w:tc>
          <w:tcPr>
            <w:tcW w:type="dxa" w:w="1656"/>
          </w:tcPr>
          <w:p>
            <w:r>
              <w:t>Prospective or transferring community-college students</w:t>
            </w:r>
          </w:p>
        </w:tc>
        <w:tc>
          <w:tcPr>
            <w:tcW w:type="dxa" w:w="1656"/>
          </w:tcPr>
          <w:p>
            <w:r>
              <w:t>Understand transferability, applicability, next steps, and destination options</w:t>
            </w:r>
          </w:p>
        </w:tc>
        <w:tc>
          <w:tcPr>
            <w:tcW w:type="dxa" w:w="1656"/>
          </w:tcPr>
          <w:p>
            <w:r>
              <w:t>Clear transition pain; potentially strong regional ecosystem fit</w:t>
            </w:r>
          </w:p>
        </w:tc>
        <w:tc>
          <w:tcPr>
            <w:tcW w:type="dxa" w:w="1656"/>
          </w:tcPr>
          <w:p>
            <w:r>
              <w:t>Requires partner alignment and articulation accuracy</w:t>
            </w:r>
          </w:p>
        </w:tc>
        <w:tc>
          <w:tcPr>
            <w:tcW w:type="dxa" w:w="1656"/>
          </w:tcPr>
          <w:p>
            <w:r>
              <w:t>Promising / under-researched</w:t>
            </w:r>
          </w:p>
        </w:tc>
      </w:tr>
      <w:tr>
        <w:tc>
          <w:tcPr>
            <w:tcW w:type="dxa" w:w="1656"/>
          </w:tcPr>
          <w:p>
            <w:r>
              <w:t>C. University recruiter field tool</w:t>
            </w:r>
          </w:p>
        </w:tc>
        <w:tc>
          <w:tcPr>
            <w:tcW w:type="dxa" w:w="1656"/>
          </w:tcPr>
          <w:p>
            <w:r>
              <w:t>Prospective students interacting with recruiters</w:t>
            </w:r>
          </w:p>
        </w:tc>
        <w:tc>
          <w:tcPr>
            <w:tcW w:type="dxa" w:w="1656"/>
          </w:tcPr>
          <w:p>
            <w:r>
              <w:t>Collect lightweight student context and return a useful, institution-informed next-step plan</w:t>
            </w:r>
          </w:p>
        </w:tc>
        <w:tc>
          <w:tcPr>
            <w:tcW w:type="dxa" w:w="1656"/>
          </w:tcPr>
          <w:p>
            <w:r>
              <w:t>Fast desirability testing; low integration; recruiter-led distribution</w:t>
            </w:r>
          </w:p>
        </w:tc>
        <w:tc>
          <w:tcPr>
            <w:tcW w:type="dxa" w:w="1656"/>
          </w:tcPr>
          <w:p>
            <w:r>
              <w:t>May drift toward enrollment CRM or lead capture rather than student agency</w:t>
            </w:r>
          </w:p>
        </w:tc>
        <w:tc>
          <w:tcPr>
            <w:tcW w:type="dxa" w:w="1656"/>
          </w:tcPr>
          <w:p>
            <w:r>
              <w:t>Fastest test / least validated</w:t>
            </w:r>
          </w:p>
        </w:tc>
      </w:tr>
      <w:tr>
        <w:tc>
          <w:tcPr>
            <w:tcW w:type="dxa" w:w="1656"/>
          </w:tcPr>
          <w:p>
            <w:r>
              <w:t>D. Direct-to-student decision-clarity prototype</w:t>
            </w:r>
          </w:p>
        </w:tc>
        <w:tc>
          <w:tcPr>
            <w:tcW w:type="dxa" w:w="1656"/>
          </w:tcPr>
          <w:p>
            <w:r>
              <w:t>Students with a fictional or self-entered scenario</w:t>
            </w:r>
          </w:p>
        </w:tc>
        <w:tc>
          <w:tcPr>
            <w:tcW w:type="dxa" w:w="1656"/>
          </w:tcPr>
          <w:p>
            <w:r>
              <w:t>Position + next moves + blockers without institutional integration</w:t>
            </w:r>
          </w:p>
        </w:tc>
        <w:tc>
          <w:tcPr>
            <w:tcW w:type="dxa" w:w="1656"/>
          </w:tcPr>
          <w:p>
            <w:r>
              <w:t>Tests the core UX cleanly and cheaply</w:t>
            </w:r>
          </w:p>
        </w:tc>
        <w:tc>
          <w:tcPr>
            <w:tcW w:type="dxa" w:w="1656"/>
          </w:tcPr>
          <w:p>
            <w:r>
              <w:t>Weak evidence of willingness to pay and institutional workflow fit</w:t>
            </w:r>
          </w:p>
        </w:tc>
        <w:tc>
          <w:tcPr>
            <w:tcW w:type="dxa" w:w="1656"/>
          </w:tcPr>
          <w:p>
            <w:r>
              <w:t>Best UX test / weak GTM proof</w:t>
            </w:r>
          </w:p>
        </w:tc>
      </w:tr>
    </w:tbl>
    <w:p>
      <w:pPr>
        <w:pStyle w:val="Heading1"/>
      </w:pPr>
      <w:r>
        <w:t>Recommended sequencing</w:t>
      </w:r>
    </w:p>
    <w:p>
      <w:pPr>
        <w:pStyle w:val="ListBullet"/>
      </w:pPr>
      <w:r>
        <w:t>Run a lightweight, non-integrated desirability test across Options B and C to learn language, urgency, and workflow demand.</w:t>
      </w:r>
    </w:p>
    <w:p>
      <w:pPr>
        <w:pStyle w:val="ListBullet"/>
      </w:pPr>
      <w:r>
        <w:t>In parallel, retain Option A as the strongest decision-grade institutional pilot hypothesis because it has the clearest evidence chain and measurable outcomes.</w:t>
      </w:r>
    </w:p>
    <w:p>
      <w:pPr>
        <w:pStyle w:val="ListBullet"/>
      </w:pPr>
      <w:r>
        <w:t>Use Option D as the common prototype layer so the same core interface can be tested across contexts.</w:t>
      </w:r>
    </w:p>
    <w:p>
      <w:pPr>
        <w:pStyle w:val="ListBullet"/>
      </w:pPr>
      <w:r>
        <w:t>Do not build live SIS integrations until the simplified experience demonstrates behavioral value and an institutional sponsor confirms the workflow.</w:t>
      </w:r>
    </w:p>
    <w:p>
      <w:pPr>
        <w:pStyle w:val="Heading1"/>
      </w:pPr>
      <w:r>
        <w:t>Decision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968"/>
            <w:shd w:fill="D9E8F5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4968"/>
          </w:tcPr>
          <w:p>
            <w:r>
              <w:t>Founder fit</w:t>
            </w:r>
          </w:p>
        </w:tc>
        <w:tc>
          <w:tcPr>
            <w:tcW w:type="dxa" w:w="4968"/>
          </w:tcPr>
          <w:p>
            <w:r>
              <w:t>Which customer and problem most clearly express Grant’s long-term product thesis?</w:t>
            </w:r>
          </w:p>
        </w:tc>
      </w:tr>
      <w:tr>
        <w:tc>
          <w:tcPr>
            <w:tcW w:type="dxa" w:w="4968"/>
          </w:tcPr>
          <w:p>
            <w:r>
              <w:t>Learning speed</w:t>
            </w:r>
          </w:p>
        </w:tc>
        <w:tc>
          <w:tcPr>
            <w:tcW w:type="dxa" w:w="4968"/>
          </w:tcPr>
          <w:p>
            <w:r>
              <w:t>Which test can run with the fewest dependencies?</w:t>
            </w:r>
          </w:p>
        </w:tc>
      </w:tr>
      <w:tr>
        <w:tc>
          <w:tcPr>
            <w:tcW w:type="dxa" w:w="4968"/>
          </w:tcPr>
          <w:p>
            <w:r>
              <w:t>Evidence quality</w:t>
            </w:r>
          </w:p>
        </w:tc>
        <w:tc>
          <w:tcPr>
            <w:tcW w:type="dxa" w:w="4968"/>
          </w:tcPr>
          <w:p>
            <w:r>
              <w:t>Will the result change a product or GTM decision?</w:t>
            </w:r>
          </w:p>
        </w:tc>
      </w:tr>
      <w:tr>
        <w:tc>
          <w:tcPr>
            <w:tcW w:type="dxa" w:w="4968"/>
          </w:tcPr>
          <w:p>
            <w:r>
              <w:t>Measurable value</w:t>
            </w:r>
          </w:p>
        </w:tc>
        <w:tc>
          <w:tcPr>
            <w:tcW w:type="dxa" w:w="4968"/>
          </w:tcPr>
          <w:p>
            <w:r>
              <w:t>Can the test connect to a concrete action, time savings, enrollment, retention, or credit applicability outcome?</w:t>
            </w:r>
          </w:p>
        </w:tc>
      </w:tr>
      <w:tr>
        <w:tc>
          <w:tcPr>
            <w:tcW w:type="dxa" w:w="4968"/>
          </w:tcPr>
          <w:p>
            <w:r>
              <w:t>Expansion path</w:t>
            </w:r>
          </w:p>
        </w:tc>
        <w:tc>
          <w:tcPr>
            <w:tcW w:type="dxa" w:w="4968"/>
          </w:tcPr>
          <w:p>
            <w:r>
              <w:t>Does the initial workflow create a credible path to broader institutional value?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