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56FCE"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Centralized Behavioral Health Intake SOP Manual</w:t>
      </w:r>
    </w:p>
    <w:p w14:paraId="419F07DB"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Title:</w:t>
      </w:r>
      <w:r w:rsidRPr="002C66EB">
        <w:rPr>
          <w:rFonts w:ascii="Times New Roman" w:eastAsia="Times New Roman" w:hAnsi="Times New Roman" w:cs="Times New Roman"/>
          <w:kern w:val="0"/>
          <w14:ligatures w14:val="none"/>
        </w:rPr>
        <w:t xml:space="preserve"> Centralized Intake Standard Operating Procedure (SOP)</w:t>
      </w:r>
      <w:r w:rsidRPr="002C66EB">
        <w:rPr>
          <w:rFonts w:ascii="Times New Roman" w:eastAsia="Times New Roman" w:hAnsi="Times New Roman" w:cs="Times New Roman"/>
          <w:kern w:val="0"/>
          <w14:ligatures w14:val="none"/>
        </w:rPr>
        <w:br/>
      </w:r>
      <w:r w:rsidRPr="002C66EB">
        <w:rPr>
          <w:rFonts w:ascii="Times New Roman" w:eastAsia="Times New Roman" w:hAnsi="Times New Roman" w:cs="Times New Roman"/>
          <w:b/>
          <w:bCs/>
          <w:kern w:val="0"/>
          <w14:ligatures w14:val="none"/>
        </w:rPr>
        <w:t>Scope:</w:t>
      </w:r>
      <w:r w:rsidRPr="002C66EB">
        <w:rPr>
          <w:rFonts w:ascii="Times New Roman" w:eastAsia="Times New Roman" w:hAnsi="Times New Roman" w:cs="Times New Roman"/>
          <w:kern w:val="0"/>
          <w14:ligatures w14:val="none"/>
        </w:rPr>
        <w:t xml:space="preserve"> Applies to all staff involved in the intake, screening, admission, and coordination of behavioral health referrals across partner hospitals and programs</w:t>
      </w:r>
      <w:r w:rsidRPr="002C66EB">
        <w:rPr>
          <w:rFonts w:ascii="Times New Roman" w:eastAsia="Times New Roman" w:hAnsi="Times New Roman" w:cs="Times New Roman"/>
          <w:kern w:val="0"/>
          <w14:ligatures w14:val="none"/>
        </w:rPr>
        <w:br/>
      </w:r>
      <w:r w:rsidRPr="002C66EB">
        <w:rPr>
          <w:rFonts w:ascii="Times New Roman" w:eastAsia="Times New Roman" w:hAnsi="Times New Roman" w:cs="Times New Roman"/>
          <w:b/>
          <w:bCs/>
          <w:kern w:val="0"/>
          <w14:ligatures w14:val="none"/>
        </w:rPr>
        <w:t>Purpose:</w:t>
      </w:r>
      <w:r w:rsidRPr="002C66EB">
        <w:rPr>
          <w:rFonts w:ascii="Times New Roman" w:eastAsia="Times New Roman" w:hAnsi="Times New Roman" w:cs="Times New Roman"/>
          <w:kern w:val="0"/>
          <w14:ligatures w14:val="none"/>
        </w:rPr>
        <w:t xml:space="preserve"> To ensure a seamless, coordinated, and patient-centered admissions process that improves access, ensures regulatory compliance, reduces risk, increases utilization, and strengthens interagency collaboration</w:t>
      </w:r>
    </w:p>
    <w:p w14:paraId="0CFD241E"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C1EEEC">
          <v:rect id="_x0000_i1077" alt="" style="width:468pt;height:.05pt;mso-width-percent:0;mso-height-percent:0;mso-width-percent:0;mso-height-percent:0" o:hralign="center" o:hrstd="t" o:hr="t" fillcolor="#a0a0a0" stroked="f"/>
        </w:pict>
      </w:r>
    </w:p>
    <w:p w14:paraId="314FD8AB" w14:textId="77777777" w:rsidR="002C66EB" w:rsidRPr="002C66EB" w:rsidRDefault="002C66EB" w:rsidP="002C6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66EB">
        <w:rPr>
          <w:rFonts w:ascii="Times New Roman" w:eastAsia="Times New Roman" w:hAnsi="Times New Roman" w:cs="Times New Roman"/>
          <w:b/>
          <w:bCs/>
          <w:kern w:val="0"/>
          <w:sz w:val="27"/>
          <w:szCs w:val="27"/>
          <w14:ligatures w14:val="none"/>
        </w:rPr>
        <w:t>SECTION 1: OVERVIEW &amp; PHILOSOPHY</w:t>
      </w:r>
    </w:p>
    <w:p w14:paraId="5F37E778"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Centralized intake is the operational backbone of coordinated behavioral healthcare. It exists to establish </w:t>
      </w:r>
      <w:r w:rsidRPr="002C66EB">
        <w:rPr>
          <w:rFonts w:ascii="Times New Roman" w:eastAsia="Times New Roman" w:hAnsi="Times New Roman" w:cs="Times New Roman"/>
          <w:b/>
          <w:bCs/>
          <w:kern w:val="0"/>
          <w14:ligatures w14:val="none"/>
        </w:rPr>
        <w:t>a single point of access</w:t>
      </w:r>
      <w:r w:rsidRPr="002C66EB">
        <w:rPr>
          <w:rFonts w:ascii="Times New Roman" w:eastAsia="Times New Roman" w:hAnsi="Times New Roman" w:cs="Times New Roman"/>
          <w:kern w:val="0"/>
          <w14:ligatures w14:val="none"/>
        </w:rPr>
        <w:t xml:space="preserve"> across all affiliated programs and facilities, ensuring timely, equitable, and clinically appropriate admissions. Rather than operating in silos, this model empowers teams to function as a unified system—one that prioritizes the needs of the patient, maximizes internal resources, and reinforces external trust among referral sources.</w:t>
      </w:r>
    </w:p>
    <w:p w14:paraId="7EB7CE24"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By centralizing intake, we reduce friction for families, clinicians, and referral partners. We eliminate delays, reduce duplication, and ensure that each patient is matched to the level of care best suited to their needs based on medical necessity, not convenience or familiarity.</w:t>
      </w:r>
    </w:p>
    <w:p w14:paraId="6C6C3C54"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ABCABC">
          <v:rect id="_x0000_i1076" alt="" style="width:468pt;height:.05pt;mso-width-percent:0;mso-height-percent:0;mso-width-percent:0;mso-height-percent:0" o:hralign="center" o:hrstd="t" o:hr="t" fillcolor="#a0a0a0" stroked="f"/>
        </w:pict>
      </w:r>
    </w:p>
    <w:p w14:paraId="0F534919" w14:textId="77777777" w:rsidR="002C66EB" w:rsidRPr="002C66EB" w:rsidRDefault="002C66EB" w:rsidP="002C6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66EB">
        <w:rPr>
          <w:rFonts w:ascii="Times New Roman" w:eastAsia="Times New Roman" w:hAnsi="Times New Roman" w:cs="Times New Roman"/>
          <w:b/>
          <w:bCs/>
          <w:kern w:val="0"/>
          <w:sz w:val="27"/>
          <w:szCs w:val="27"/>
          <w14:ligatures w14:val="none"/>
        </w:rPr>
        <w:t>Why This Matters</w:t>
      </w:r>
    </w:p>
    <w:p w14:paraId="0927EAD3" w14:textId="3BA16D70"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 xml:space="preserve"> For Patients:</w:t>
      </w:r>
    </w:p>
    <w:p w14:paraId="5B68509B" w14:textId="77777777" w:rsidR="002C66EB" w:rsidRPr="002C66EB" w:rsidRDefault="002C66EB" w:rsidP="002C66E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Centralized intake provides </w:t>
      </w:r>
      <w:r w:rsidRPr="002C66EB">
        <w:rPr>
          <w:rFonts w:ascii="Times New Roman" w:eastAsia="Times New Roman" w:hAnsi="Times New Roman" w:cs="Times New Roman"/>
          <w:b/>
          <w:bCs/>
          <w:kern w:val="0"/>
          <w14:ligatures w14:val="none"/>
        </w:rPr>
        <w:t>faster access to care</w:t>
      </w:r>
      <w:r w:rsidRPr="002C66EB">
        <w:rPr>
          <w:rFonts w:ascii="Times New Roman" w:eastAsia="Times New Roman" w:hAnsi="Times New Roman" w:cs="Times New Roman"/>
          <w:kern w:val="0"/>
          <w14:ligatures w14:val="none"/>
        </w:rPr>
        <w:t>, which is critical in psychiatric and crisis situations.</w:t>
      </w:r>
    </w:p>
    <w:p w14:paraId="4BE92DBD" w14:textId="77777777" w:rsidR="002C66EB" w:rsidRPr="002C66EB" w:rsidRDefault="002C66EB" w:rsidP="002C66E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It reduces the emotional burden on families by offering a </w:t>
      </w:r>
      <w:r w:rsidRPr="002C66EB">
        <w:rPr>
          <w:rFonts w:ascii="Times New Roman" w:eastAsia="Times New Roman" w:hAnsi="Times New Roman" w:cs="Times New Roman"/>
          <w:b/>
          <w:bCs/>
          <w:kern w:val="0"/>
          <w14:ligatures w14:val="none"/>
        </w:rPr>
        <w:t>clear, single point of contact</w:t>
      </w:r>
      <w:r w:rsidRPr="002C66EB">
        <w:rPr>
          <w:rFonts w:ascii="Times New Roman" w:eastAsia="Times New Roman" w:hAnsi="Times New Roman" w:cs="Times New Roman"/>
          <w:kern w:val="0"/>
          <w14:ligatures w14:val="none"/>
        </w:rPr>
        <w:t>.</w:t>
      </w:r>
    </w:p>
    <w:p w14:paraId="4B8C86EC" w14:textId="77777777" w:rsidR="002C66EB" w:rsidRPr="002C66EB" w:rsidRDefault="002C66EB" w:rsidP="002C66E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It decreases the likelihood of repeat emergency visits or law enforcement encounters due to uncoordinated care.</w:t>
      </w:r>
    </w:p>
    <w:p w14:paraId="6920EEB6" w14:textId="77777777" w:rsidR="002C66EB" w:rsidRPr="002C66EB" w:rsidRDefault="002C66EB" w:rsidP="002C66E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It improves long-term outcomes by ensuring patients are placed into the correct level of care the first time.</w:t>
      </w:r>
    </w:p>
    <w:p w14:paraId="2F72BA4C" w14:textId="2A095FAB"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For Referral Sources (e.g., ERs, PCPs, therapists, hospitals):</w:t>
      </w:r>
    </w:p>
    <w:p w14:paraId="5F61CAF3" w14:textId="77777777" w:rsidR="002C66EB" w:rsidRPr="002C66EB" w:rsidRDefault="002C66EB" w:rsidP="002C66E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Offers </w:t>
      </w:r>
      <w:r w:rsidRPr="002C66EB">
        <w:rPr>
          <w:rFonts w:ascii="Times New Roman" w:eastAsia="Times New Roman" w:hAnsi="Times New Roman" w:cs="Times New Roman"/>
          <w:b/>
          <w:bCs/>
          <w:kern w:val="0"/>
          <w14:ligatures w14:val="none"/>
        </w:rPr>
        <w:t>real-time clarity</w:t>
      </w:r>
      <w:r w:rsidRPr="002C66EB">
        <w:rPr>
          <w:rFonts w:ascii="Times New Roman" w:eastAsia="Times New Roman" w:hAnsi="Times New Roman" w:cs="Times New Roman"/>
          <w:kern w:val="0"/>
          <w14:ligatures w14:val="none"/>
        </w:rPr>
        <w:t xml:space="preserve"> on what programs are available and appropriate.</w:t>
      </w:r>
    </w:p>
    <w:p w14:paraId="45B3C835" w14:textId="77777777" w:rsidR="002C66EB" w:rsidRPr="002C66EB" w:rsidRDefault="002C66EB" w:rsidP="002C66E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Enhances trust in the system by providing </w:t>
      </w:r>
      <w:r w:rsidRPr="002C66EB">
        <w:rPr>
          <w:rFonts w:ascii="Times New Roman" w:eastAsia="Times New Roman" w:hAnsi="Times New Roman" w:cs="Times New Roman"/>
          <w:b/>
          <w:bCs/>
          <w:kern w:val="0"/>
          <w14:ligatures w14:val="none"/>
        </w:rPr>
        <w:t>reliable and consistent follow-up.</w:t>
      </w:r>
    </w:p>
    <w:p w14:paraId="1D1483BB" w14:textId="77777777" w:rsidR="002C66EB" w:rsidRPr="002C66EB" w:rsidRDefault="002C66EB" w:rsidP="002C66E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Saves providers time by removing the need to call multiple programs or guess about eligibility.</w:t>
      </w:r>
    </w:p>
    <w:p w14:paraId="370E54AE" w14:textId="77777777" w:rsidR="002C66EB" w:rsidRPr="002C66EB" w:rsidRDefault="002C66EB" w:rsidP="002C66E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Ensures the </w:t>
      </w:r>
      <w:r w:rsidRPr="002C66EB">
        <w:rPr>
          <w:rFonts w:ascii="Times New Roman" w:eastAsia="Times New Roman" w:hAnsi="Times New Roman" w:cs="Times New Roman"/>
          <w:b/>
          <w:bCs/>
          <w:kern w:val="0"/>
          <w14:ligatures w14:val="none"/>
        </w:rPr>
        <w:t>referring clinician’s concerns are addressed</w:t>
      </w:r>
      <w:r w:rsidRPr="002C66EB">
        <w:rPr>
          <w:rFonts w:ascii="Times New Roman" w:eastAsia="Times New Roman" w:hAnsi="Times New Roman" w:cs="Times New Roman"/>
          <w:kern w:val="0"/>
          <w14:ligatures w14:val="none"/>
        </w:rPr>
        <w:t xml:space="preserve"> in the clinical screening process.</w:t>
      </w:r>
    </w:p>
    <w:p w14:paraId="3BD37672" w14:textId="44A7F744"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lastRenderedPageBreak/>
        <w:t xml:space="preserve"> For Hospitals &amp; Programs:</w:t>
      </w:r>
    </w:p>
    <w:p w14:paraId="3A73C815" w14:textId="77777777" w:rsidR="002C66EB" w:rsidRPr="002C66EB" w:rsidRDefault="002C66EB" w:rsidP="002C66E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Reduces empty bed days and missed admissions due to inefficiencies.</w:t>
      </w:r>
    </w:p>
    <w:p w14:paraId="06CFB136" w14:textId="77777777" w:rsidR="002C66EB" w:rsidRPr="002C66EB" w:rsidRDefault="002C66EB" w:rsidP="002C66E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Ensures staff are focused on care delivery, not administrative troubleshooting.</w:t>
      </w:r>
    </w:p>
    <w:p w14:paraId="68CE2773" w14:textId="77777777" w:rsidR="002C66EB" w:rsidRPr="002C66EB" w:rsidRDefault="002C66EB" w:rsidP="002C66E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Promotes </w:t>
      </w:r>
      <w:r w:rsidRPr="002C66EB">
        <w:rPr>
          <w:rFonts w:ascii="Times New Roman" w:eastAsia="Times New Roman" w:hAnsi="Times New Roman" w:cs="Times New Roman"/>
          <w:b/>
          <w:bCs/>
          <w:kern w:val="0"/>
          <w14:ligatures w14:val="none"/>
        </w:rPr>
        <w:t>shared accountability across departments</w:t>
      </w:r>
      <w:r w:rsidRPr="002C66EB">
        <w:rPr>
          <w:rFonts w:ascii="Times New Roman" w:eastAsia="Times New Roman" w:hAnsi="Times New Roman" w:cs="Times New Roman"/>
          <w:kern w:val="0"/>
          <w14:ligatures w14:val="none"/>
        </w:rPr>
        <w:t>, breaking down silos.</w:t>
      </w:r>
    </w:p>
    <w:p w14:paraId="47CC67E1" w14:textId="77777777" w:rsidR="002C66EB" w:rsidRPr="002C66EB" w:rsidRDefault="002C66EB" w:rsidP="002C66E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Enables flexible use of program capacity and staff by creating </w:t>
      </w:r>
      <w:r w:rsidRPr="002C66EB">
        <w:rPr>
          <w:rFonts w:ascii="Times New Roman" w:eastAsia="Times New Roman" w:hAnsi="Times New Roman" w:cs="Times New Roman"/>
          <w:b/>
          <w:bCs/>
          <w:kern w:val="0"/>
          <w14:ligatures w14:val="none"/>
        </w:rPr>
        <w:t>flow visibility</w:t>
      </w:r>
      <w:r w:rsidRPr="002C66EB">
        <w:rPr>
          <w:rFonts w:ascii="Times New Roman" w:eastAsia="Times New Roman" w:hAnsi="Times New Roman" w:cs="Times New Roman"/>
          <w:kern w:val="0"/>
          <w14:ligatures w14:val="none"/>
        </w:rPr>
        <w:t>.</w:t>
      </w:r>
    </w:p>
    <w:p w14:paraId="07B9FB4F" w14:textId="77777777" w:rsidR="002C66EB" w:rsidRPr="002C66EB" w:rsidRDefault="002C66EB" w:rsidP="002C66E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Protects revenue through stronger documentation and </w:t>
      </w:r>
      <w:r w:rsidRPr="002C66EB">
        <w:rPr>
          <w:rFonts w:ascii="Times New Roman" w:eastAsia="Times New Roman" w:hAnsi="Times New Roman" w:cs="Times New Roman"/>
          <w:b/>
          <w:bCs/>
          <w:kern w:val="0"/>
          <w14:ligatures w14:val="none"/>
        </w:rPr>
        <w:t>clean admissions processes.</w:t>
      </w:r>
    </w:p>
    <w:p w14:paraId="04EAADA4" w14:textId="7AC5C4DD"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 xml:space="preserve"> For Regulators &amp; Payers:</w:t>
      </w:r>
    </w:p>
    <w:p w14:paraId="3A1418F0" w14:textId="77777777" w:rsidR="002C66EB" w:rsidRPr="002C66EB" w:rsidRDefault="002C66EB" w:rsidP="002C66E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Meets legal and clinical standards for behavioral health access under:\n - </w:t>
      </w:r>
      <w:r w:rsidRPr="002C66EB">
        <w:rPr>
          <w:rFonts w:ascii="Times New Roman" w:eastAsia="Times New Roman" w:hAnsi="Times New Roman" w:cs="Times New Roman"/>
          <w:b/>
          <w:bCs/>
          <w:kern w:val="0"/>
          <w14:ligatures w14:val="none"/>
        </w:rPr>
        <w:t>CMS Conditions of Participation</w:t>
      </w:r>
    </w:p>
    <w:p w14:paraId="300D770C" w14:textId="77777777" w:rsidR="002C66EB" w:rsidRPr="002C66EB" w:rsidRDefault="002C66EB" w:rsidP="002C66E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EMTALA</w:t>
      </w:r>
      <w:r w:rsidRPr="002C66EB">
        <w:rPr>
          <w:rFonts w:ascii="Times New Roman" w:eastAsia="Times New Roman" w:hAnsi="Times New Roman" w:cs="Times New Roman"/>
          <w:kern w:val="0"/>
          <w14:ligatures w14:val="none"/>
        </w:rPr>
        <w:t xml:space="preserve"> (Emergency Medical Treatment and Labor Act)</w:t>
      </w:r>
    </w:p>
    <w:p w14:paraId="0F9CC242" w14:textId="77777777" w:rsidR="002C66EB" w:rsidRPr="002C66EB" w:rsidRDefault="002C66EB" w:rsidP="002C66E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Medicare and Medicaid Managed Care rules</w:t>
      </w:r>
    </w:p>
    <w:p w14:paraId="0BD5089D" w14:textId="77777777" w:rsidR="002C66EB" w:rsidRPr="002C66EB" w:rsidRDefault="002C66EB" w:rsidP="002C66E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Louisiana Title 28</w:t>
      </w:r>
      <w:r w:rsidRPr="002C66EB">
        <w:rPr>
          <w:rFonts w:ascii="Times New Roman" w:eastAsia="Times New Roman" w:hAnsi="Times New Roman" w:cs="Times New Roman"/>
          <w:kern w:val="0"/>
          <w14:ligatures w14:val="none"/>
        </w:rPr>
        <w:t xml:space="preserve"> commitment laws</w:t>
      </w:r>
    </w:p>
    <w:p w14:paraId="06B83014" w14:textId="77777777" w:rsidR="002C66EB" w:rsidRPr="002C66EB" w:rsidRDefault="002C66EB" w:rsidP="002C66E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Reduces risk of patient dumping, admission delays, or inappropriate denials.</w:t>
      </w:r>
    </w:p>
    <w:p w14:paraId="631915DA" w14:textId="77777777" w:rsidR="002C66EB" w:rsidRPr="002C66EB" w:rsidRDefault="002C66EB" w:rsidP="002C66E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Improves audit readiness and eligibility documentation for reimbursement.</w:t>
      </w:r>
    </w:p>
    <w:p w14:paraId="54683AF0"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76CC3B">
          <v:rect id="_x0000_i1075" alt="" style="width:468pt;height:.05pt;mso-width-percent:0;mso-height-percent:0;mso-width-percent:0;mso-height-percent:0" o:hralign="center" o:hrstd="t" o:hr="t" fillcolor="#a0a0a0" stroked="f"/>
        </w:pict>
      </w:r>
    </w:p>
    <w:p w14:paraId="3DA9F4DC" w14:textId="77777777" w:rsidR="002C66EB" w:rsidRPr="002C66EB" w:rsidRDefault="002C66EB" w:rsidP="002C6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66EB">
        <w:rPr>
          <w:rFonts w:ascii="Times New Roman" w:eastAsia="Times New Roman" w:hAnsi="Times New Roman" w:cs="Times New Roman"/>
          <w:b/>
          <w:bCs/>
          <w:kern w:val="0"/>
          <w:sz w:val="27"/>
          <w:szCs w:val="27"/>
          <w14:ligatures w14:val="none"/>
        </w:rPr>
        <w:t>Legal, Financial, and Risk Considerations</w:t>
      </w:r>
    </w:p>
    <w:p w14:paraId="3C237670"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Failure to implement and follow a centralized intake model carries </w:t>
      </w:r>
      <w:r w:rsidRPr="002C66EB">
        <w:rPr>
          <w:rFonts w:ascii="Times New Roman" w:eastAsia="Times New Roman" w:hAnsi="Times New Roman" w:cs="Times New Roman"/>
          <w:b/>
          <w:bCs/>
          <w:kern w:val="0"/>
          <w14:ligatures w14:val="none"/>
        </w:rPr>
        <w:t>significant risk</w:t>
      </w:r>
      <w:r w:rsidRPr="002C66EB">
        <w:rPr>
          <w:rFonts w:ascii="Times New Roman" w:eastAsia="Times New Roman" w:hAnsi="Times New Roman" w:cs="Times New Roman"/>
          <w:kern w:val="0"/>
          <w14:ligatures w14:val="none"/>
        </w:rPr>
        <w:t xml:space="preserve"> at multiple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6809"/>
      </w:tblGrid>
      <w:tr w:rsidR="002C66EB" w:rsidRPr="002C66EB" w14:paraId="0846B23D" w14:textId="77777777" w:rsidTr="002C66EB">
        <w:trPr>
          <w:tblHeader/>
          <w:tblCellSpacing w:w="15" w:type="dxa"/>
        </w:trPr>
        <w:tc>
          <w:tcPr>
            <w:tcW w:w="0" w:type="auto"/>
            <w:vAlign w:val="center"/>
            <w:hideMark/>
          </w:tcPr>
          <w:p w14:paraId="37836A59" w14:textId="77777777" w:rsidR="002C66EB" w:rsidRPr="002C66EB" w:rsidRDefault="002C66EB" w:rsidP="002C66EB">
            <w:pPr>
              <w:spacing w:after="0" w:line="240" w:lineRule="auto"/>
              <w:jc w:val="center"/>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t>Risk Area</w:t>
            </w:r>
          </w:p>
        </w:tc>
        <w:tc>
          <w:tcPr>
            <w:tcW w:w="0" w:type="auto"/>
            <w:vAlign w:val="center"/>
            <w:hideMark/>
          </w:tcPr>
          <w:p w14:paraId="4793B2FF" w14:textId="77777777" w:rsidR="002C66EB" w:rsidRPr="002C66EB" w:rsidRDefault="002C66EB" w:rsidP="002C66EB">
            <w:pPr>
              <w:spacing w:after="0" w:line="240" w:lineRule="auto"/>
              <w:jc w:val="center"/>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t>Consequences</w:t>
            </w:r>
          </w:p>
        </w:tc>
      </w:tr>
      <w:tr w:rsidR="002C66EB" w:rsidRPr="002C66EB" w14:paraId="4101B9AE" w14:textId="77777777" w:rsidTr="002C66EB">
        <w:trPr>
          <w:tblCellSpacing w:w="15" w:type="dxa"/>
        </w:trPr>
        <w:tc>
          <w:tcPr>
            <w:tcW w:w="0" w:type="auto"/>
            <w:vAlign w:val="center"/>
            <w:hideMark/>
          </w:tcPr>
          <w:p w14:paraId="1B307A38" w14:textId="77777777" w:rsidR="002C66EB" w:rsidRPr="002C66EB" w:rsidRDefault="002C66EB" w:rsidP="002C66EB">
            <w:pPr>
              <w:spacing w:after="0"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EMTALA Violations</w:t>
            </w:r>
          </w:p>
        </w:tc>
        <w:tc>
          <w:tcPr>
            <w:tcW w:w="0" w:type="auto"/>
            <w:vAlign w:val="center"/>
            <w:hideMark/>
          </w:tcPr>
          <w:p w14:paraId="2DCD88B1" w14:textId="77777777" w:rsidR="002C66EB" w:rsidRPr="002C66EB" w:rsidRDefault="002C66EB" w:rsidP="002C66EB">
            <w:pPr>
              <w:spacing w:after="0"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Fines up to $100,000 per incident, hospital sanction, CMS audits, legal liability</w:t>
            </w:r>
          </w:p>
        </w:tc>
      </w:tr>
      <w:tr w:rsidR="002C66EB" w:rsidRPr="002C66EB" w14:paraId="28B5CD2C" w14:textId="77777777" w:rsidTr="002C66EB">
        <w:trPr>
          <w:tblCellSpacing w:w="15" w:type="dxa"/>
        </w:trPr>
        <w:tc>
          <w:tcPr>
            <w:tcW w:w="0" w:type="auto"/>
            <w:vAlign w:val="center"/>
            <w:hideMark/>
          </w:tcPr>
          <w:p w14:paraId="7A3D17B5" w14:textId="77777777" w:rsidR="002C66EB" w:rsidRPr="002C66EB" w:rsidRDefault="002C66EB" w:rsidP="002C66EB">
            <w:pPr>
              <w:spacing w:after="0"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Failure to Screen</w:t>
            </w:r>
          </w:p>
        </w:tc>
        <w:tc>
          <w:tcPr>
            <w:tcW w:w="0" w:type="auto"/>
            <w:vAlign w:val="center"/>
            <w:hideMark/>
          </w:tcPr>
          <w:p w14:paraId="14C3703F" w14:textId="77777777" w:rsidR="002C66EB" w:rsidRPr="002C66EB" w:rsidRDefault="002C66EB" w:rsidP="002C66EB">
            <w:pPr>
              <w:spacing w:after="0"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Denied claims, delayed care, increased risk of patient harm, loss of licensure</w:t>
            </w:r>
          </w:p>
        </w:tc>
      </w:tr>
      <w:tr w:rsidR="002C66EB" w:rsidRPr="002C66EB" w14:paraId="57ABF5F3" w14:textId="77777777" w:rsidTr="002C66EB">
        <w:trPr>
          <w:tblCellSpacing w:w="15" w:type="dxa"/>
        </w:trPr>
        <w:tc>
          <w:tcPr>
            <w:tcW w:w="0" w:type="auto"/>
            <w:vAlign w:val="center"/>
            <w:hideMark/>
          </w:tcPr>
          <w:p w14:paraId="618CD1DF" w14:textId="77777777" w:rsidR="002C66EB" w:rsidRPr="002C66EB" w:rsidRDefault="002C66EB" w:rsidP="002C66EB">
            <w:pPr>
              <w:spacing w:after="0"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Title 28 Non-compliance</w:t>
            </w:r>
          </w:p>
        </w:tc>
        <w:tc>
          <w:tcPr>
            <w:tcW w:w="0" w:type="auto"/>
            <w:vAlign w:val="center"/>
            <w:hideMark/>
          </w:tcPr>
          <w:p w14:paraId="725C3D63" w14:textId="77777777" w:rsidR="002C66EB" w:rsidRPr="002C66EB" w:rsidRDefault="002C66EB" w:rsidP="002C66EB">
            <w:pPr>
              <w:spacing w:after="0"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Unlawful commitment procedures, litigation from patients/families, reputational damage</w:t>
            </w:r>
          </w:p>
        </w:tc>
      </w:tr>
      <w:tr w:rsidR="002C66EB" w:rsidRPr="002C66EB" w14:paraId="2AA94680" w14:textId="77777777" w:rsidTr="002C66EB">
        <w:trPr>
          <w:tblCellSpacing w:w="15" w:type="dxa"/>
        </w:trPr>
        <w:tc>
          <w:tcPr>
            <w:tcW w:w="0" w:type="auto"/>
            <w:vAlign w:val="center"/>
            <w:hideMark/>
          </w:tcPr>
          <w:p w14:paraId="7B075632" w14:textId="77777777" w:rsidR="002C66EB" w:rsidRPr="002C66EB" w:rsidRDefault="002C66EB" w:rsidP="002C66EB">
            <w:pPr>
              <w:spacing w:after="0"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Disorganized Handoffs</w:t>
            </w:r>
          </w:p>
        </w:tc>
        <w:tc>
          <w:tcPr>
            <w:tcW w:w="0" w:type="auto"/>
            <w:vAlign w:val="center"/>
            <w:hideMark/>
          </w:tcPr>
          <w:p w14:paraId="6382C415" w14:textId="77777777" w:rsidR="002C66EB" w:rsidRPr="002C66EB" w:rsidRDefault="002C66EB" w:rsidP="002C66EB">
            <w:pPr>
              <w:spacing w:after="0"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Lost referrals, missed admissions, charting errors, increased safety risks</w:t>
            </w:r>
          </w:p>
        </w:tc>
      </w:tr>
      <w:tr w:rsidR="002C66EB" w:rsidRPr="002C66EB" w14:paraId="2D509073" w14:textId="77777777" w:rsidTr="002C66EB">
        <w:trPr>
          <w:tblCellSpacing w:w="15" w:type="dxa"/>
        </w:trPr>
        <w:tc>
          <w:tcPr>
            <w:tcW w:w="0" w:type="auto"/>
            <w:vAlign w:val="center"/>
            <w:hideMark/>
          </w:tcPr>
          <w:p w14:paraId="3B02736B" w14:textId="77777777" w:rsidR="002C66EB" w:rsidRPr="002C66EB" w:rsidRDefault="002C66EB" w:rsidP="002C66EB">
            <w:pPr>
              <w:spacing w:after="0"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Inadequate Documentation</w:t>
            </w:r>
          </w:p>
        </w:tc>
        <w:tc>
          <w:tcPr>
            <w:tcW w:w="0" w:type="auto"/>
            <w:vAlign w:val="center"/>
            <w:hideMark/>
          </w:tcPr>
          <w:p w14:paraId="68129E52" w14:textId="77777777" w:rsidR="002C66EB" w:rsidRPr="002C66EB" w:rsidRDefault="002C66EB" w:rsidP="002C66EB">
            <w:pPr>
              <w:spacing w:after="0"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Reimbursement denial, poor audit outcomes, legal exposure</w:t>
            </w:r>
          </w:p>
        </w:tc>
      </w:tr>
    </w:tbl>
    <w:p w14:paraId="06C24B65"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63DC81">
          <v:rect id="_x0000_i1074" alt="" style="width:468pt;height:.05pt;mso-width-percent:0;mso-height-percent:0;mso-width-percent:0;mso-height-percent:0" o:hralign="center" o:hrstd="t" o:hr="t" fillcolor="#a0a0a0" stroked="f"/>
        </w:pict>
      </w:r>
    </w:p>
    <w:p w14:paraId="772F8D11" w14:textId="77777777" w:rsidR="002C66EB" w:rsidRDefault="002C66EB">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66D31D55" w14:textId="101E5856" w:rsidR="002C66EB" w:rsidRPr="002C66EB" w:rsidRDefault="002C66EB" w:rsidP="002C6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66EB">
        <w:rPr>
          <w:rFonts w:ascii="Times New Roman" w:eastAsia="Times New Roman" w:hAnsi="Times New Roman" w:cs="Times New Roman"/>
          <w:b/>
          <w:bCs/>
          <w:kern w:val="0"/>
          <w:sz w:val="27"/>
          <w:szCs w:val="27"/>
          <w14:ligatures w14:val="none"/>
        </w:rPr>
        <w:lastRenderedPageBreak/>
        <w:t>Incentivizing Compliance through Mission &amp; Metrics</w:t>
      </w:r>
    </w:p>
    <w:p w14:paraId="4C193632"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When all departments align under a centralized intake process:</w:t>
      </w:r>
    </w:p>
    <w:p w14:paraId="7E4100B7" w14:textId="77777777" w:rsidR="002C66EB" w:rsidRPr="002C66EB" w:rsidRDefault="002C66EB" w:rsidP="002C66E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Customer loyalty increases:</w:t>
      </w:r>
      <w:r w:rsidRPr="002C66EB">
        <w:rPr>
          <w:rFonts w:ascii="Times New Roman" w:eastAsia="Times New Roman" w:hAnsi="Times New Roman" w:cs="Times New Roman"/>
          <w:kern w:val="0"/>
          <w14:ligatures w14:val="none"/>
        </w:rPr>
        <w:t xml:space="preserve"> Families and referral sources remember responsive systems.</w:t>
      </w:r>
    </w:p>
    <w:p w14:paraId="1EC5638B" w14:textId="77777777" w:rsidR="002C66EB" w:rsidRPr="002C66EB" w:rsidRDefault="002C66EB" w:rsidP="002C66E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Staff job satisfaction improves:</w:t>
      </w:r>
      <w:r w:rsidRPr="002C66EB">
        <w:rPr>
          <w:rFonts w:ascii="Times New Roman" w:eastAsia="Times New Roman" w:hAnsi="Times New Roman" w:cs="Times New Roman"/>
          <w:kern w:val="0"/>
          <w14:ligatures w14:val="none"/>
        </w:rPr>
        <w:t xml:space="preserve"> Each team member sees how their role connects to the big picture.</w:t>
      </w:r>
    </w:p>
    <w:p w14:paraId="1588971A" w14:textId="77777777" w:rsidR="002C66EB" w:rsidRPr="002C66EB" w:rsidRDefault="002C66EB" w:rsidP="002C66E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Revenue increases:</w:t>
      </w:r>
      <w:r w:rsidRPr="002C66EB">
        <w:rPr>
          <w:rFonts w:ascii="Times New Roman" w:eastAsia="Times New Roman" w:hAnsi="Times New Roman" w:cs="Times New Roman"/>
          <w:kern w:val="0"/>
          <w14:ligatures w14:val="none"/>
        </w:rPr>
        <w:t xml:space="preserve"> Every appropriate referral is captured, converted, and billed.</w:t>
      </w:r>
    </w:p>
    <w:p w14:paraId="34197E7D" w14:textId="77777777" w:rsidR="002C66EB" w:rsidRPr="002C66EB" w:rsidRDefault="002C66EB" w:rsidP="002C66E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Clinical outcomes improve:</w:t>
      </w:r>
      <w:r w:rsidRPr="002C66EB">
        <w:rPr>
          <w:rFonts w:ascii="Times New Roman" w:eastAsia="Times New Roman" w:hAnsi="Times New Roman" w:cs="Times New Roman"/>
          <w:kern w:val="0"/>
          <w14:ligatures w14:val="none"/>
        </w:rPr>
        <w:t xml:space="preserve"> Timely access reduces crisis escalation, self-harm, and re-hospitalization.</w:t>
      </w:r>
    </w:p>
    <w:p w14:paraId="5116442C"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Central intake isn’t just a process—it’s a philosophy.</w:t>
      </w:r>
      <w:r w:rsidRPr="002C66EB">
        <w:rPr>
          <w:rFonts w:ascii="Times New Roman" w:eastAsia="Times New Roman" w:hAnsi="Times New Roman" w:cs="Times New Roman"/>
          <w:kern w:val="0"/>
          <w14:ligatures w14:val="none"/>
        </w:rPr>
        <w:t xml:space="preserve"> One grounded in empathy, efficiency, equity, and ethics.</w:t>
      </w:r>
    </w:p>
    <w:p w14:paraId="4B7460AE"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DD69D9">
          <v:rect id="_x0000_i1073" alt="" style="width:468pt;height:.05pt;mso-width-percent:0;mso-height-percent:0;mso-width-percent:0;mso-height-percent:0" o:hralign="center" o:hrstd="t" o:hr="t" fillcolor="#a0a0a0" stroked="f"/>
        </w:pict>
      </w:r>
    </w:p>
    <w:p w14:paraId="069D08E0" w14:textId="77777777" w:rsidR="002C66EB" w:rsidRDefault="002C66EB">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30CA9F05" w14:textId="77777777" w:rsidR="002C66EB" w:rsidRPr="002C66EB" w:rsidRDefault="002C66EB" w:rsidP="002C6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66EB">
        <w:rPr>
          <w:rFonts w:ascii="Times New Roman" w:eastAsia="Times New Roman" w:hAnsi="Times New Roman" w:cs="Times New Roman"/>
          <w:b/>
          <w:bCs/>
          <w:kern w:val="0"/>
          <w:sz w:val="27"/>
          <w:szCs w:val="27"/>
          <w14:ligatures w14:val="none"/>
        </w:rPr>
        <w:lastRenderedPageBreak/>
        <w:t>SECTION 2: ROLES &amp; RESPONSIBILITIES</w:t>
      </w:r>
    </w:p>
    <w:p w14:paraId="684341AE"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 successful centralized intake model is only as strong as the clarity of its roles and the collaboration between them. Each role below contributes to a unified, high-performing admissions ecosystem. Everyone in this system plays a mission-critical role in ensuring timely, appropriate care and smooth coordination from referral to admission.</w:t>
      </w:r>
    </w:p>
    <w:p w14:paraId="773B9942"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D823C9">
          <v:rect id="_x0000_i1072" alt="" style="width:468pt;height:.05pt;mso-width-percent:0;mso-height-percent:0;mso-width-percent:0;mso-height-percent:0" o:hralign="center" o:hrstd="t" o:hr="t" fillcolor="#a0a0a0" stroked="f"/>
        </w:pict>
      </w:r>
    </w:p>
    <w:p w14:paraId="44736C24" w14:textId="77777777"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Apple Color Emoji" w:eastAsia="Times New Roman" w:hAnsi="Apple Color Emoji" w:cs="Apple Color Emoji"/>
          <w:b/>
          <w:bCs/>
          <w:kern w:val="0"/>
          <w14:ligatures w14:val="none"/>
        </w:rPr>
        <w:t>🧭</w:t>
      </w:r>
      <w:r w:rsidRPr="002C66EB">
        <w:rPr>
          <w:rFonts w:ascii="Times New Roman" w:eastAsia="Times New Roman" w:hAnsi="Times New Roman" w:cs="Times New Roman"/>
          <w:b/>
          <w:bCs/>
          <w:kern w:val="0"/>
          <w14:ligatures w14:val="none"/>
        </w:rPr>
        <w:t xml:space="preserve"> Intake Director</w:t>
      </w:r>
    </w:p>
    <w:p w14:paraId="1B0881F7"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Core Purpose:</w:t>
      </w:r>
      <w:r w:rsidRPr="002C66EB">
        <w:rPr>
          <w:rFonts w:ascii="Times New Roman" w:eastAsia="Times New Roman" w:hAnsi="Times New Roman" w:cs="Times New Roman"/>
          <w:kern w:val="0"/>
          <w14:ligatures w14:val="none"/>
        </w:rPr>
        <w:t xml:space="preserve"> To ensure system-wide operational alignment and remove obstacles that delay care or disrupt coordination across programs.</w:t>
      </w:r>
    </w:p>
    <w:p w14:paraId="306E8EE3"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Key Responsibilities:</w:t>
      </w:r>
    </w:p>
    <w:p w14:paraId="1C6C701C" w14:textId="77777777" w:rsidR="002C66EB" w:rsidRPr="002C66EB" w:rsidRDefault="002C66EB" w:rsidP="002C66E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Oversees all centralized intake operations across multiple facilities or partner hospitals.</w:t>
      </w:r>
    </w:p>
    <w:p w14:paraId="0715AD41" w14:textId="77777777" w:rsidR="002C66EB" w:rsidRPr="002C66EB" w:rsidRDefault="002C66EB" w:rsidP="002C66E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Maintains real-time visibility into:</w:t>
      </w:r>
    </w:p>
    <w:p w14:paraId="65A44A3D" w14:textId="77777777" w:rsidR="002C66EB" w:rsidRPr="002C66EB" w:rsidRDefault="002C66EB" w:rsidP="002C66E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Bed availability across programs</w:t>
      </w:r>
    </w:p>
    <w:p w14:paraId="6AC0E5C4" w14:textId="77777777" w:rsidR="002C66EB" w:rsidRPr="002C66EB" w:rsidRDefault="002C66EB" w:rsidP="002C66E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Vehicle/transportation capacity</w:t>
      </w:r>
    </w:p>
    <w:p w14:paraId="053B87B8" w14:textId="77777777" w:rsidR="002C66EB" w:rsidRPr="002C66EB" w:rsidRDefault="002C66EB" w:rsidP="002C66E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Staffing levels and </w:t>
      </w:r>
      <w:proofErr w:type="gramStart"/>
      <w:r w:rsidRPr="002C66EB">
        <w:rPr>
          <w:rFonts w:ascii="Times New Roman" w:eastAsia="Times New Roman" w:hAnsi="Times New Roman" w:cs="Times New Roman"/>
          <w:kern w:val="0"/>
          <w14:ligatures w14:val="none"/>
        </w:rPr>
        <w:t>call-outs</w:t>
      </w:r>
      <w:proofErr w:type="gramEnd"/>
    </w:p>
    <w:p w14:paraId="57D24674" w14:textId="77777777" w:rsidR="002C66EB" w:rsidRPr="002C66EB" w:rsidRDefault="002C66EB" w:rsidP="002C66E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Program-specific limitations (e.g., male/female ratio, age restrictions, psych diagnosis exclusions)</w:t>
      </w:r>
    </w:p>
    <w:p w14:paraId="38E5BB37" w14:textId="77777777" w:rsidR="002C66EB" w:rsidRPr="002C66EB" w:rsidRDefault="002C66EB" w:rsidP="002C66E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Leads interdepartmental communication across units, programs, business office, and transport to ensure seamless handoffs.</w:t>
      </w:r>
    </w:p>
    <w:p w14:paraId="604BF61C" w14:textId="77777777" w:rsidR="002C66EB" w:rsidRPr="002C66EB" w:rsidRDefault="002C66EB" w:rsidP="002C66E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Chairs weekly or daily command huddles and reviews case flow trends.</w:t>
      </w:r>
    </w:p>
    <w:p w14:paraId="5D2D74CD" w14:textId="77777777" w:rsidR="002C66EB" w:rsidRPr="002C66EB" w:rsidRDefault="002C66EB" w:rsidP="002C66E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Partners with leadership to analyze:</w:t>
      </w:r>
    </w:p>
    <w:p w14:paraId="33E6B424" w14:textId="77777777" w:rsidR="002C66EB" w:rsidRPr="002C66EB" w:rsidRDefault="002C66EB" w:rsidP="002C66E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Referral volume and conversion rates</w:t>
      </w:r>
    </w:p>
    <w:p w14:paraId="3499907C" w14:textId="77777777" w:rsidR="002C66EB" w:rsidRPr="002C66EB" w:rsidRDefault="002C66EB" w:rsidP="002C66E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Lost opportunity trends</w:t>
      </w:r>
    </w:p>
    <w:p w14:paraId="0248C2DC" w14:textId="77777777" w:rsidR="002C66EB" w:rsidRPr="002C66EB" w:rsidRDefault="002C66EB" w:rsidP="002C66E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Capacity utilization</w:t>
      </w:r>
    </w:p>
    <w:p w14:paraId="3C683548" w14:textId="77777777" w:rsidR="002C66EB" w:rsidRPr="002C66EB" w:rsidRDefault="002C66EB" w:rsidP="002C66E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Staff productivity and coverage gaps</w:t>
      </w:r>
    </w:p>
    <w:p w14:paraId="04D0F051"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This Role Matters:</w:t>
      </w:r>
      <w:r w:rsidRPr="002C66EB">
        <w:rPr>
          <w:rFonts w:ascii="Times New Roman" w:eastAsia="Times New Roman" w:hAnsi="Times New Roman" w:cs="Times New Roman"/>
          <w:kern w:val="0"/>
          <w14:ligatures w14:val="none"/>
        </w:rPr>
        <w:br/>
        <w:t>Without centralized operational oversight, silos form and patients fall through cracks. The Intake Director ensures the system moves fluidly—and remains anchored to data, accountability, and impact.</w:t>
      </w:r>
    </w:p>
    <w:p w14:paraId="5E9FFFC8"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85B9FB">
          <v:rect id="_x0000_i1071" alt="" style="width:468pt;height:.05pt;mso-width-percent:0;mso-height-percent:0;mso-width-percent:0;mso-height-percent:0" o:hralign="center" o:hrstd="t" o:hr="t" fillcolor="#a0a0a0" stroked="f"/>
        </w:pict>
      </w:r>
    </w:p>
    <w:p w14:paraId="1FC459C0" w14:textId="28894519" w:rsid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71C438AB" w14:textId="77777777" w:rsidR="002C66EB" w:rsidRDefault="002C66EB">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3B2489E0" w14:textId="4AB3E0CF"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lastRenderedPageBreak/>
        <w:t>Lead Intake Nurse / Clinician (“Lead Agent”)</w:t>
      </w:r>
    </w:p>
    <w:p w14:paraId="03CA37A3"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Core Purpose:</w:t>
      </w:r>
      <w:r w:rsidRPr="002C66EB">
        <w:rPr>
          <w:rFonts w:ascii="Times New Roman" w:eastAsia="Times New Roman" w:hAnsi="Times New Roman" w:cs="Times New Roman"/>
          <w:kern w:val="0"/>
          <w14:ligatures w14:val="none"/>
        </w:rPr>
        <w:t xml:space="preserve"> Acts as the clinical backbone of the intake process, ensuring that every patient receives an accurate, timely, and compliant screening.</w:t>
      </w:r>
    </w:p>
    <w:p w14:paraId="7FC512D8"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Key Responsibilities:</w:t>
      </w:r>
    </w:p>
    <w:p w14:paraId="4670F63C" w14:textId="77777777" w:rsidR="002C66EB" w:rsidRPr="002C66EB" w:rsidRDefault="002C66EB" w:rsidP="002C66E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Serves as the primary point of contact for referral sources and internal teams on active cases.</w:t>
      </w:r>
    </w:p>
    <w:p w14:paraId="76A328BF" w14:textId="77777777" w:rsidR="002C66EB" w:rsidRPr="002C66EB" w:rsidRDefault="002C66EB" w:rsidP="002C66E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Organizes and performs clinical pre-screens (“laying eyes”) for each referral, including:</w:t>
      </w:r>
    </w:p>
    <w:p w14:paraId="6C5F1621" w14:textId="77777777" w:rsidR="002C66EB" w:rsidRPr="002C66EB" w:rsidRDefault="002C66EB" w:rsidP="002C66E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Mental status exam</w:t>
      </w:r>
    </w:p>
    <w:p w14:paraId="16E0DBAA" w14:textId="77777777" w:rsidR="002C66EB" w:rsidRPr="002C66EB" w:rsidRDefault="002C66EB" w:rsidP="002C66E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Risk assessment (SI/HI)</w:t>
      </w:r>
    </w:p>
    <w:p w14:paraId="4B57BCFC" w14:textId="77777777" w:rsidR="002C66EB" w:rsidRPr="002C66EB" w:rsidRDefault="002C66EB" w:rsidP="002C66E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Diagnostic impressions</w:t>
      </w:r>
    </w:p>
    <w:p w14:paraId="7FF9DA2C" w14:textId="77777777" w:rsidR="002C66EB" w:rsidRPr="002C66EB" w:rsidRDefault="002C66EB" w:rsidP="002C66E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Functional impairments</w:t>
      </w:r>
    </w:p>
    <w:p w14:paraId="2F33C6E4" w14:textId="77777777" w:rsidR="002C66EB" w:rsidRPr="002C66EB" w:rsidRDefault="002C66EB" w:rsidP="002C66E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Gathers collateral data when needed (e.g., medical records, consults).</w:t>
      </w:r>
    </w:p>
    <w:p w14:paraId="7061EADF" w14:textId="77777777" w:rsidR="002C66EB" w:rsidRPr="002C66EB" w:rsidRDefault="002C66EB" w:rsidP="002C66E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Coordinates clinical clearance and level of care determinations with:</w:t>
      </w:r>
    </w:p>
    <w:p w14:paraId="777C693D" w14:textId="77777777" w:rsidR="002C66EB" w:rsidRPr="002C66EB" w:rsidRDefault="002C66EB" w:rsidP="002C66E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On-call psychiatrist/physician</w:t>
      </w:r>
    </w:p>
    <w:p w14:paraId="7ADE4F81" w14:textId="77777777" w:rsidR="002C66EB" w:rsidRPr="002C66EB" w:rsidRDefault="002C66EB" w:rsidP="002C66EB">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Receiving nurse or unit</w:t>
      </w:r>
    </w:p>
    <w:p w14:paraId="3D9CFBED" w14:textId="77777777" w:rsidR="002C66EB" w:rsidRPr="002C66EB" w:rsidRDefault="002C66EB" w:rsidP="002C66E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Facilitates nurse-to-nurse reports for medical clearance and exclusionary criteria checks.</w:t>
      </w:r>
    </w:p>
    <w:p w14:paraId="4A799ADF" w14:textId="77777777" w:rsidR="002C66EB" w:rsidRPr="002C66EB" w:rsidRDefault="002C66EB" w:rsidP="002C66E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Provides ongoing training, mentorship, and quality oversight to the intake team.</w:t>
      </w:r>
    </w:p>
    <w:p w14:paraId="36374CCE"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This Role Matters:</w:t>
      </w:r>
      <w:r w:rsidRPr="002C66EB">
        <w:rPr>
          <w:rFonts w:ascii="Times New Roman" w:eastAsia="Times New Roman" w:hAnsi="Times New Roman" w:cs="Times New Roman"/>
          <w:kern w:val="0"/>
          <w14:ligatures w14:val="none"/>
        </w:rPr>
        <w:br/>
        <w:t>Clinical accuracy determines patient safety, program fit, and medical necessity. The Lead Agent ensures that every admission is clinically sound, legally defensible, and financially justifiable.</w:t>
      </w:r>
    </w:p>
    <w:p w14:paraId="028A54FB"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E003F4">
          <v:rect id="_x0000_i1070" alt="" style="width:468pt;height:.05pt;mso-width-percent:0;mso-height-percent:0;mso-width-percent:0;mso-height-percent:0" o:hralign="center" o:hrstd="t" o:hr="t" fillcolor="#a0a0a0" stroked="f"/>
        </w:pict>
      </w:r>
    </w:p>
    <w:p w14:paraId="2A79C26B" w14:textId="77777777" w:rsidR="002C66EB" w:rsidRDefault="002C66EB">
      <w:pPr>
        <w:rPr>
          <w:rFonts w:ascii="Apple Color Emoji" w:eastAsia="Times New Roman" w:hAnsi="Apple Color Emoji" w:cs="Apple Color Emoji"/>
          <w:b/>
          <w:bCs/>
          <w:kern w:val="0"/>
          <w14:ligatures w14:val="none"/>
        </w:rPr>
      </w:pPr>
      <w:r>
        <w:rPr>
          <w:rFonts w:ascii="Apple Color Emoji" w:eastAsia="Times New Roman" w:hAnsi="Apple Color Emoji" w:cs="Apple Color Emoji"/>
          <w:b/>
          <w:bCs/>
          <w:kern w:val="0"/>
          <w14:ligatures w14:val="none"/>
        </w:rPr>
        <w:br w:type="page"/>
      </w:r>
    </w:p>
    <w:p w14:paraId="0FEAC201" w14:textId="0807B364"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lastRenderedPageBreak/>
        <w:t xml:space="preserve"> Intake Coordinator / Liaison</w:t>
      </w:r>
    </w:p>
    <w:p w14:paraId="3C216945"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Core Purpose:</w:t>
      </w:r>
      <w:r w:rsidRPr="002C66EB">
        <w:rPr>
          <w:rFonts w:ascii="Times New Roman" w:eastAsia="Times New Roman" w:hAnsi="Times New Roman" w:cs="Times New Roman"/>
          <w:kern w:val="0"/>
          <w14:ligatures w14:val="none"/>
        </w:rPr>
        <w:t xml:space="preserve"> Manages the administrative and relational side of referrals, acting as the air traffic controller of the intake office.</w:t>
      </w:r>
    </w:p>
    <w:p w14:paraId="68D062CA"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Key Responsibilities:</w:t>
      </w:r>
    </w:p>
    <w:p w14:paraId="1D6AE0B6" w14:textId="77777777" w:rsidR="002C66EB" w:rsidRPr="002C66EB" w:rsidRDefault="002C66EB" w:rsidP="002C66E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Answers referral calls and emails, logs all inquiries promptly in CRM or intake system.</w:t>
      </w:r>
    </w:p>
    <w:p w14:paraId="283B6D3A" w14:textId="77777777" w:rsidR="002C66EB" w:rsidRPr="002C66EB" w:rsidRDefault="002C66EB" w:rsidP="002C66E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Gathers, uploads, and verifies all supporting documentation, including:</w:t>
      </w:r>
    </w:p>
    <w:p w14:paraId="0ADA0C03" w14:textId="77777777" w:rsidR="002C66EB" w:rsidRPr="002C66EB" w:rsidRDefault="002C66EB" w:rsidP="002C66EB">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Insurance cards</w:t>
      </w:r>
    </w:p>
    <w:p w14:paraId="6A0B7C92" w14:textId="77777777" w:rsidR="002C66EB" w:rsidRPr="002C66EB" w:rsidRDefault="002C66EB" w:rsidP="002C66EB">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Legal paperwork (OPC, PEC, CEC, consents)</w:t>
      </w:r>
    </w:p>
    <w:p w14:paraId="55B6D0B1" w14:textId="77777777" w:rsidR="002C66EB" w:rsidRPr="002C66EB" w:rsidRDefault="002C66EB" w:rsidP="002C66EB">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Clinical documentation (face sheet, progress notes, medication list)</w:t>
      </w:r>
    </w:p>
    <w:p w14:paraId="61710677" w14:textId="77777777" w:rsidR="002C66EB" w:rsidRPr="002C66EB" w:rsidRDefault="002C66EB" w:rsidP="002C66E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Completes and maintains the intake packet, ensuring it's 100% complete before handoff.</w:t>
      </w:r>
    </w:p>
    <w:p w14:paraId="48120036" w14:textId="77777777" w:rsidR="002C66EB" w:rsidRPr="002C66EB" w:rsidRDefault="002C66EB" w:rsidP="002C66E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Tracks referral statuses and updates families, referral sources, and internal stakeholders.</w:t>
      </w:r>
    </w:p>
    <w:p w14:paraId="759EF08E" w14:textId="77777777" w:rsidR="002C66EB" w:rsidRPr="002C66EB" w:rsidRDefault="002C66EB" w:rsidP="002C66E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Confirms bed assignment, transport details, and expected arrival time.</w:t>
      </w:r>
    </w:p>
    <w:p w14:paraId="6D7F68BA" w14:textId="77777777" w:rsidR="002C66EB" w:rsidRPr="002C66EB" w:rsidRDefault="002C66EB" w:rsidP="002C66E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Flags urgent cases and ensures fast-track coordination when acuity or risk level is high.</w:t>
      </w:r>
    </w:p>
    <w:p w14:paraId="4BE18C0C"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This Role Matters:</w:t>
      </w:r>
      <w:r w:rsidRPr="002C66EB">
        <w:rPr>
          <w:rFonts w:ascii="Times New Roman" w:eastAsia="Times New Roman" w:hAnsi="Times New Roman" w:cs="Times New Roman"/>
          <w:kern w:val="0"/>
          <w14:ligatures w14:val="none"/>
        </w:rPr>
        <w:br/>
        <w:t>The Intake Coordinator keeps the engine running. Without consistent documentation, timely follow-up, and status tracking, referrals stall, patients disengage, and revenue is lost.</w:t>
      </w:r>
    </w:p>
    <w:p w14:paraId="26C69887"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90261FA">
          <v:rect id="_x0000_i1069" alt="" style="width:468pt;height:.05pt;mso-width-percent:0;mso-height-percent:0;mso-width-percent:0;mso-height-percent:0" o:hralign="center" o:hrstd="t" o:hr="t" fillcolor="#a0a0a0" stroked="f"/>
        </w:pict>
      </w:r>
    </w:p>
    <w:p w14:paraId="2BD649A9" w14:textId="39AF47AB"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t>Business Office Representative</w:t>
      </w:r>
    </w:p>
    <w:p w14:paraId="56D4B155"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Core Purpose:</w:t>
      </w:r>
      <w:r w:rsidRPr="002C66EB">
        <w:rPr>
          <w:rFonts w:ascii="Times New Roman" w:eastAsia="Times New Roman" w:hAnsi="Times New Roman" w:cs="Times New Roman"/>
          <w:kern w:val="0"/>
          <w14:ligatures w14:val="none"/>
        </w:rPr>
        <w:t xml:space="preserve"> Protects revenue integrity by ensuring that every patient’s financial eligibility is understood and documented before admission.</w:t>
      </w:r>
    </w:p>
    <w:p w14:paraId="38A3FB05"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Key Responsibilities:</w:t>
      </w:r>
    </w:p>
    <w:p w14:paraId="05E1D34D" w14:textId="77777777" w:rsidR="002C66EB" w:rsidRPr="002C66EB" w:rsidRDefault="002C66EB" w:rsidP="002C66E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Completes benefit verifications within 15 minutes of intake notification, using IVR, payer portals, or direct contact with insurers.</w:t>
      </w:r>
    </w:p>
    <w:p w14:paraId="4373D457" w14:textId="77777777" w:rsidR="002C66EB" w:rsidRPr="002C66EB" w:rsidRDefault="002C66EB" w:rsidP="002C66E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Identifies:</w:t>
      </w:r>
    </w:p>
    <w:p w14:paraId="4DA5DD41" w14:textId="77777777" w:rsidR="002C66EB" w:rsidRPr="002C66EB" w:rsidRDefault="002C66EB" w:rsidP="002C66EB">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Coverage type (Medicare, Medicaid, commercial)</w:t>
      </w:r>
    </w:p>
    <w:p w14:paraId="6F25E3AC" w14:textId="77777777" w:rsidR="002C66EB" w:rsidRPr="002C66EB" w:rsidRDefault="002C66EB" w:rsidP="002C66EB">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Deductibles, coinsurance, and out-of-pocket maximums</w:t>
      </w:r>
    </w:p>
    <w:p w14:paraId="1B9C2E41" w14:textId="77777777" w:rsidR="002C66EB" w:rsidRPr="002C66EB" w:rsidRDefault="002C66EB" w:rsidP="002C66EB">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Authorization or single case agreement requirements</w:t>
      </w:r>
    </w:p>
    <w:p w14:paraId="51A73553" w14:textId="77777777" w:rsidR="002C66EB" w:rsidRPr="002C66EB" w:rsidRDefault="002C66EB" w:rsidP="002C66E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Advises intake team on any red flags, gaps, or requirements before proceeding.</w:t>
      </w:r>
    </w:p>
    <w:p w14:paraId="16B59675" w14:textId="77777777" w:rsidR="002C66EB" w:rsidRPr="002C66EB" w:rsidRDefault="002C66EB" w:rsidP="002C66E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Coordinates financial counseling when needed (e.g., uninsured, out-of-network).</w:t>
      </w:r>
    </w:p>
    <w:p w14:paraId="4F59D028" w14:textId="77777777" w:rsidR="002C66EB" w:rsidRPr="002C66EB" w:rsidRDefault="002C66EB" w:rsidP="002C66E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Documents all payer details and maintains compliance with internal billing protocols.</w:t>
      </w:r>
    </w:p>
    <w:p w14:paraId="43937D93"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This Role Matters:</w:t>
      </w:r>
      <w:r w:rsidRPr="002C66EB">
        <w:rPr>
          <w:rFonts w:ascii="Times New Roman" w:eastAsia="Times New Roman" w:hAnsi="Times New Roman" w:cs="Times New Roman"/>
          <w:kern w:val="0"/>
          <w14:ligatures w14:val="none"/>
        </w:rPr>
        <w:br/>
        <w:t>A clinically appropriate admission without financial clearance can lead to major reimbursement loss. This role ensures clinical decisions are paired with payer realities and that the facility is protected from financial risk.</w:t>
      </w:r>
    </w:p>
    <w:p w14:paraId="0C455196"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805849">
          <v:rect id="_x0000_i1068" alt="" style="width:468pt;height:.05pt;mso-width-percent:0;mso-height-percent:0;mso-width-percent:0;mso-height-percent:0" o:hralign="center" o:hrstd="t" o:hr="t" fillcolor="#a0a0a0" stroked="f"/>
        </w:pict>
      </w:r>
    </w:p>
    <w:p w14:paraId="5A57B185" w14:textId="5A61D512" w:rsidR="002C66EB" w:rsidRPr="002C66EB" w:rsidRDefault="002C66EB" w:rsidP="002C6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66EB">
        <w:rPr>
          <w:rFonts w:ascii="Times New Roman" w:eastAsia="Times New Roman" w:hAnsi="Times New Roman" w:cs="Times New Roman"/>
          <w:b/>
          <w:bCs/>
          <w:kern w:val="0"/>
          <w:sz w:val="27"/>
          <w:szCs w:val="27"/>
          <w14:ligatures w14:val="none"/>
        </w:rPr>
        <w:lastRenderedPageBreak/>
        <w:t>Final Note: Team Synergy</w:t>
      </w:r>
    </w:p>
    <w:p w14:paraId="714226D6"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Each role is interdependent—no one operates in a silo. Admissions only succeed when:</w:t>
      </w:r>
    </w:p>
    <w:p w14:paraId="11D8D2AF" w14:textId="77777777" w:rsidR="002C66EB" w:rsidRPr="002C66EB" w:rsidRDefault="002C66EB" w:rsidP="002C66E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Clinical, operational, and financial domains work in lockstep</w:t>
      </w:r>
    </w:p>
    <w:p w14:paraId="46174F7A" w14:textId="77777777" w:rsidR="002C66EB" w:rsidRPr="002C66EB" w:rsidRDefault="002C66EB" w:rsidP="002C66E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Communication is proactive, clear, and complete</w:t>
      </w:r>
    </w:p>
    <w:p w14:paraId="0750D53D" w14:textId="77777777" w:rsidR="002C66EB" w:rsidRPr="002C66EB" w:rsidRDefault="002C66EB" w:rsidP="002C66E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Every team member understands not just what they do—but why it matters</w:t>
      </w:r>
    </w:p>
    <w:p w14:paraId="0361F245"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16D047">
          <v:rect id="_x0000_i1067" alt="" style="width:468pt;height:.05pt;mso-width-percent:0;mso-height-percent:0;mso-width-percent:0;mso-height-percent:0" o:hralign="center" o:hrstd="t" o:hr="t" fillcolor="#a0a0a0" stroked="f"/>
        </w:pict>
      </w:r>
    </w:p>
    <w:p w14:paraId="67F02F90" w14:textId="77777777" w:rsidR="002C66EB" w:rsidRDefault="002C66EB">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023CF0C5" w14:textId="77777777" w:rsidR="002C66EB" w:rsidRPr="002C66EB" w:rsidRDefault="002C66EB" w:rsidP="002C6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66EB">
        <w:rPr>
          <w:rFonts w:ascii="Times New Roman" w:eastAsia="Times New Roman" w:hAnsi="Times New Roman" w:cs="Times New Roman"/>
          <w:b/>
          <w:bCs/>
          <w:kern w:val="0"/>
          <w:sz w:val="27"/>
          <w:szCs w:val="27"/>
          <w14:ligatures w14:val="none"/>
        </w:rPr>
        <w:lastRenderedPageBreak/>
        <w:t>SECTION 3: STEP-BY-STEP ADMISSIONS PROCESS</w:t>
      </w:r>
    </w:p>
    <w:p w14:paraId="76ED69F0"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 successful admission begins with clarity, coordination, and clinical integrity. The following 10-step protocol ensures that every referral is managed with consistency, safety, and compliance in mind—protecting the patient, the program, and the organization.</w:t>
      </w:r>
    </w:p>
    <w:p w14:paraId="3E4B3321" w14:textId="0C092069"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D8DBC9">
          <v:rect id="_x0000_i1066" alt="" style="width:468pt;height:.05pt;mso-width-percent:0;mso-height-percent:0;mso-width-percent:0;mso-height-percent:0" o:hralign="center" o:hrstd="t" o:hr="t" fillcolor="#a0a0a0" stroked="f"/>
        </w:pict>
      </w:r>
      <w:r w:rsidR="002C66EB" w:rsidRPr="002C66EB">
        <w:rPr>
          <w:rFonts w:ascii="Times New Roman" w:eastAsia="Times New Roman" w:hAnsi="Times New Roman" w:cs="Times New Roman"/>
          <w:b/>
          <w:bCs/>
          <w:kern w:val="0"/>
          <w14:ligatures w14:val="none"/>
        </w:rPr>
        <w:t xml:space="preserve"> Step 1: Referral Entry &amp; Inquiry Form Completion</w:t>
      </w:r>
    </w:p>
    <w:p w14:paraId="65F53BAC"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What to Do:</w:t>
      </w:r>
    </w:p>
    <w:p w14:paraId="0BFF28A7" w14:textId="77777777" w:rsidR="002C66EB" w:rsidRPr="002C66EB" w:rsidRDefault="002C66EB" w:rsidP="002C66E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Receive the referral via phone call, secure email, or fax. Referrals may come from family members, ERs, clinics, therapists, law enforcement, or other agencies.</w:t>
      </w:r>
    </w:p>
    <w:p w14:paraId="56C7491C" w14:textId="77777777" w:rsidR="002C66EB" w:rsidRPr="002C66EB" w:rsidRDefault="002C66EB" w:rsidP="002C66E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Log the referral immediately into the system of record (CRM, EHR, or intake database).</w:t>
      </w:r>
    </w:p>
    <w:p w14:paraId="364CAB16" w14:textId="77777777" w:rsidR="002C66EB" w:rsidRPr="002C66EB" w:rsidRDefault="002C66EB" w:rsidP="002C66E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Complete all fields in the standardized inquiry form, including:</w:t>
      </w:r>
    </w:p>
    <w:p w14:paraId="364C44C2" w14:textId="77777777" w:rsidR="002C66EB" w:rsidRPr="002C66EB" w:rsidRDefault="002C66EB" w:rsidP="002C66EB">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Referral source name, role, and contact information</w:t>
      </w:r>
    </w:p>
    <w:p w14:paraId="26F6912F" w14:textId="77777777" w:rsidR="002C66EB" w:rsidRPr="002C66EB" w:rsidRDefault="002C66EB" w:rsidP="002C66EB">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Presenting issue(s) and reason for referral</w:t>
      </w:r>
    </w:p>
    <w:p w14:paraId="5C2C6F38" w14:textId="77777777" w:rsidR="002C66EB" w:rsidRPr="002C66EB" w:rsidRDefault="002C66EB" w:rsidP="002C66EB">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Urgency or risk factors</w:t>
      </w:r>
    </w:p>
    <w:p w14:paraId="2FB3AB8F" w14:textId="77777777" w:rsidR="002C66EB" w:rsidRPr="002C66EB" w:rsidRDefault="002C66EB" w:rsidP="002C66EB">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Current location of patient (home, ER, facility, etc.)</w:t>
      </w:r>
    </w:p>
    <w:p w14:paraId="1AC95C3A"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It Matters:</w:t>
      </w:r>
      <w:r w:rsidRPr="002C66EB">
        <w:rPr>
          <w:rFonts w:ascii="Times New Roman" w:eastAsia="Times New Roman" w:hAnsi="Times New Roman" w:cs="Times New Roman"/>
          <w:kern w:val="0"/>
          <w14:ligatures w14:val="none"/>
        </w:rPr>
        <w:br/>
        <w:t>This step creates the legal and clinical paper trail that supports all future care decisions. Missing or incomplete referral entries delay care and create liability risk.</w:t>
      </w:r>
    </w:p>
    <w:p w14:paraId="74C710E4" w14:textId="3FD674BD"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BD7EDD">
          <v:rect id="_x0000_i1065" alt="" style="width:468pt;height:.05pt;mso-width-percent:0;mso-height-percent:0;mso-width-percent:0;mso-height-percent:0" o:hralign="center" o:hrstd="t" o:hr="t" fillcolor="#a0a0a0" stroked="f"/>
        </w:pict>
      </w:r>
      <w:r w:rsidR="002C66EB" w:rsidRPr="002C66EB">
        <w:rPr>
          <w:rFonts w:ascii="Times New Roman" w:eastAsia="Times New Roman" w:hAnsi="Times New Roman" w:cs="Times New Roman"/>
          <w:b/>
          <w:bCs/>
          <w:kern w:val="0"/>
          <w14:ligatures w14:val="none"/>
        </w:rPr>
        <w:t xml:space="preserve"> Step 2: Legal Status Determination</w:t>
      </w:r>
    </w:p>
    <w:p w14:paraId="13DFE0F5"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What to Do:</w:t>
      </w:r>
    </w:p>
    <w:p w14:paraId="0EC5E0A9" w14:textId="77777777" w:rsidR="002C66EB" w:rsidRPr="002C66EB" w:rsidRDefault="002C66EB" w:rsidP="002C66E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Determine the legal status of the patient:</w:t>
      </w:r>
    </w:p>
    <w:p w14:paraId="58487C13" w14:textId="77777777" w:rsidR="002C66EB" w:rsidRPr="002C66EB" w:rsidRDefault="002C66EB" w:rsidP="002C66EB">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Voluntary:</w:t>
      </w:r>
      <w:r w:rsidRPr="002C66EB">
        <w:rPr>
          <w:rFonts w:ascii="Times New Roman" w:eastAsia="Times New Roman" w:hAnsi="Times New Roman" w:cs="Times New Roman"/>
          <w:kern w:val="0"/>
          <w14:ligatures w14:val="none"/>
        </w:rPr>
        <w:t xml:space="preserve"> Patient agrees to treatment (formal or non-contested)</w:t>
      </w:r>
    </w:p>
    <w:p w14:paraId="6FCCC615" w14:textId="77777777" w:rsidR="002C66EB" w:rsidRPr="002C66EB" w:rsidRDefault="002C66EB" w:rsidP="002C66EB">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Involuntary:</w:t>
      </w:r>
      <w:r w:rsidRPr="002C66EB">
        <w:rPr>
          <w:rFonts w:ascii="Times New Roman" w:eastAsia="Times New Roman" w:hAnsi="Times New Roman" w:cs="Times New Roman"/>
          <w:kern w:val="0"/>
          <w14:ligatures w14:val="none"/>
        </w:rPr>
        <w:t xml:space="preserve"> Admission initiated through legal order</w:t>
      </w:r>
    </w:p>
    <w:p w14:paraId="1DD80406" w14:textId="77777777" w:rsidR="002C66EB" w:rsidRPr="002C66EB" w:rsidRDefault="002C66EB" w:rsidP="002C66EB">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OPC (Order of Protective Custody)</w:t>
      </w:r>
    </w:p>
    <w:p w14:paraId="031F1F58" w14:textId="77777777" w:rsidR="002C66EB" w:rsidRPr="002C66EB" w:rsidRDefault="002C66EB" w:rsidP="002C66EB">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PEC (Physician’s Emergency Certificate)</w:t>
      </w:r>
    </w:p>
    <w:p w14:paraId="5C02192E" w14:textId="77777777" w:rsidR="002C66EB" w:rsidRPr="002C66EB" w:rsidRDefault="002C66EB" w:rsidP="002C66EB">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CEC (Coroner’s Emergency Certificate)</w:t>
      </w:r>
    </w:p>
    <w:p w14:paraId="578CEBFA" w14:textId="77777777" w:rsidR="002C66EB" w:rsidRPr="002C66EB" w:rsidRDefault="002C66EB" w:rsidP="002C66E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Ensure all legal documentation is received, signed, and filed appropriately.</w:t>
      </w:r>
    </w:p>
    <w:p w14:paraId="5445C6BD" w14:textId="77777777" w:rsidR="002C66EB" w:rsidRPr="002C66EB" w:rsidRDefault="002C66EB" w:rsidP="002C66E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Check and document critical deadlines (e.g., PEC expires after 72 hours; OPC must result in action within 12 hours of custody).</w:t>
      </w:r>
    </w:p>
    <w:p w14:paraId="13E6103D"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It Matters:</w:t>
      </w:r>
      <w:r w:rsidRPr="002C66EB">
        <w:rPr>
          <w:rFonts w:ascii="Times New Roman" w:eastAsia="Times New Roman" w:hAnsi="Times New Roman" w:cs="Times New Roman"/>
          <w:kern w:val="0"/>
          <w14:ligatures w14:val="none"/>
        </w:rPr>
        <w:br/>
        <w:t>Behavioral health admissions must align with state laws (e.g., Louisiana Title 28) or risk violating patients’ civil rights, triggering lawsuits or audit findings.</w:t>
      </w:r>
    </w:p>
    <w:p w14:paraId="7C09A3E3"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85FF2F">
          <v:rect id="_x0000_i1064" alt="" style="width:468pt;height:.05pt;mso-width-percent:0;mso-height-percent:0;mso-width-percent:0;mso-height-percent:0" o:hralign="center" o:hrstd="t" o:hr="t" fillcolor="#a0a0a0" stroked="f"/>
        </w:pict>
      </w:r>
    </w:p>
    <w:p w14:paraId="5ADE5161" w14:textId="77777777" w:rsidR="002C66EB" w:rsidRDefault="002C66EB">
      <w:pPr>
        <w:rPr>
          <w:rFonts w:ascii="Apple Color Emoji" w:eastAsia="Times New Roman" w:hAnsi="Apple Color Emoji" w:cs="Apple Color Emoji"/>
          <w:b/>
          <w:bCs/>
          <w:kern w:val="0"/>
          <w14:ligatures w14:val="none"/>
        </w:rPr>
      </w:pPr>
      <w:r>
        <w:rPr>
          <w:rFonts w:ascii="Apple Color Emoji" w:eastAsia="Times New Roman" w:hAnsi="Apple Color Emoji" w:cs="Apple Color Emoji"/>
          <w:b/>
          <w:bCs/>
          <w:kern w:val="0"/>
          <w14:ligatures w14:val="none"/>
        </w:rPr>
        <w:br w:type="page"/>
      </w:r>
    </w:p>
    <w:p w14:paraId="18E1305B" w14:textId="1C2F3A5A"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lastRenderedPageBreak/>
        <w:t>Step 3: Medical Clearance (Nurse-to-Nurse)</w:t>
      </w:r>
    </w:p>
    <w:p w14:paraId="1208D453"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What to Do:</w:t>
      </w:r>
    </w:p>
    <w:p w14:paraId="77C62FA4" w14:textId="77777777" w:rsidR="002C66EB" w:rsidRPr="002C66EB" w:rsidRDefault="002C66EB" w:rsidP="002C66E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The intake nurse contacts the sending facility’s nurse for a verbal medical clearance (“nurse-to-nurse” report).</w:t>
      </w:r>
    </w:p>
    <w:p w14:paraId="091EAF53" w14:textId="77777777" w:rsidR="002C66EB" w:rsidRPr="002C66EB" w:rsidRDefault="002C66EB" w:rsidP="002C66E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Ask about:</w:t>
      </w:r>
    </w:p>
    <w:p w14:paraId="7938C9A8" w14:textId="77777777" w:rsidR="002C66EB" w:rsidRPr="002C66EB" w:rsidRDefault="002C66EB" w:rsidP="002C66EB">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Recent vitals and labs</w:t>
      </w:r>
    </w:p>
    <w:p w14:paraId="129D2F50" w14:textId="77777777" w:rsidR="002C66EB" w:rsidRPr="002C66EB" w:rsidRDefault="002C66EB" w:rsidP="002C66EB">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Active medical conditions</w:t>
      </w:r>
    </w:p>
    <w:p w14:paraId="332CDE83" w14:textId="77777777" w:rsidR="002C66EB" w:rsidRPr="002C66EB" w:rsidRDefault="002C66EB" w:rsidP="002C66EB">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Fall risk or special equipment (e.g., catheter, wound vac, oxygen)</w:t>
      </w:r>
    </w:p>
    <w:p w14:paraId="5B61283F" w14:textId="77777777" w:rsidR="002C66EB" w:rsidRPr="002C66EB" w:rsidRDefault="002C66EB" w:rsidP="002C66E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 xml:space="preserve">Identify </w:t>
      </w:r>
      <w:r w:rsidRPr="002C66EB">
        <w:rPr>
          <w:rFonts w:ascii="Times New Roman" w:eastAsia="Times New Roman" w:hAnsi="Times New Roman" w:cs="Times New Roman"/>
          <w:b/>
          <w:bCs/>
          <w:kern w:val="0"/>
          <w14:ligatures w14:val="none"/>
        </w:rPr>
        <w:t>any exclusionary medical conditions</w:t>
      </w:r>
      <w:r w:rsidRPr="002C66EB">
        <w:rPr>
          <w:rFonts w:ascii="Times New Roman" w:eastAsia="Times New Roman" w:hAnsi="Times New Roman" w:cs="Times New Roman"/>
          <w:kern w:val="0"/>
          <w14:ligatures w14:val="none"/>
        </w:rPr>
        <w:t>, such as:</w:t>
      </w:r>
    </w:p>
    <w:p w14:paraId="3951DEDD" w14:textId="77777777" w:rsidR="002C66EB" w:rsidRPr="002C66EB" w:rsidRDefault="002C66EB" w:rsidP="002C66EB">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Active or contagious infection</w:t>
      </w:r>
    </w:p>
    <w:p w14:paraId="14DFA64B" w14:textId="77777777" w:rsidR="002C66EB" w:rsidRPr="002C66EB" w:rsidRDefault="002C66EB" w:rsidP="002C66EB">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Uncontrolled blood sugar, BP, or seizure disorder</w:t>
      </w:r>
    </w:p>
    <w:p w14:paraId="62FB5533" w14:textId="77777777" w:rsidR="002C66EB" w:rsidRPr="002C66EB" w:rsidRDefault="002C66EB" w:rsidP="002C66EB">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Current intoxication or need for detox not supported by the program</w:t>
      </w:r>
    </w:p>
    <w:p w14:paraId="5F006A14"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It Matters:</w:t>
      </w:r>
      <w:r w:rsidRPr="002C66EB">
        <w:rPr>
          <w:rFonts w:ascii="Times New Roman" w:eastAsia="Times New Roman" w:hAnsi="Times New Roman" w:cs="Times New Roman"/>
          <w:kern w:val="0"/>
          <w14:ligatures w14:val="none"/>
        </w:rPr>
        <w:br/>
        <w:t>This protects the hospital from admitting patients who require a higher level of medical care than the facility can safely provide.</w:t>
      </w:r>
    </w:p>
    <w:p w14:paraId="2DF27854"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791CBD9">
          <v:rect id="_x0000_i1063" alt="" style="width:468pt;height:.05pt;mso-width-percent:0;mso-height-percent:0;mso-width-percent:0;mso-height-percent:0" o:hralign="center" o:hrstd="t" o:hr="t" fillcolor="#a0a0a0" stroked="f"/>
        </w:pict>
      </w:r>
    </w:p>
    <w:p w14:paraId="49FEFA0B" w14:textId="71DAF539"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t>Step 4: Clinical Screening / “Laying Eyes”</w:t>
      </w:r>
    </w:p>
    <w:p w14:paraId="55CB556E"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What to Do:</w:t>
      </w:r>
    </w:p>
    <w:p w14:paraId="74994A34" w14:textId="77777777" w:rsidR="002C66EB" w:rsidRPr="002C66EB" w:rsidRDefault="002C66EB" w:rsidP="002C66E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Conduct a prescreening assessment with the patient (in person or by phone/video).</w:t>
      </w:r>
    </w:p>
    <w:p w14:paraId="37C0A6A6" w14:textId="77777777" w:rsidR="002C66EB" w:rsidRPr="002C66EB" w:rsidRDefault="002C66EB" w:rsidP="002C66E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Evaluate:</w:t>
      </w:r>
    </w:p>
    <w:p w14:paraId="74C60E96" w14:textId="77777777" w:rsidR="002C66EB" w:rsidRPr="002C66EB" w:rsidRDefault="002C66EB" w:rsidP="002C66E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Risk of self-harm or harm to others (SI/HI)</w:t>
      </w:r>
    </w:p>
    <w:p w14:paraId="6D2A79FD" w14:textId="77777777" w:rsidR="002C66EB" w:rsidRPr="002C66EB" w:rsidRDefault="002C66EB" w:rsidP="002C66E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Symptoms of psychosis, mania, catatonia, or severe depression</w:t>
      </w:r>
    </w:p>
    <w:p w14:paraId="1196D586" w14:textId="77777777" w:rsidR="002C66EB" w:rsidRPr="002C66EB" w:rsidRDefault="002C66EB" w:rsidP="002C66E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Cognitive deficits (e.g., disorientation, confusion)</w:t>
      </w:r>
    </w:p>
    <w:p w14:paraId="628A3DD5" w14:textId="77777777" w:rsidR="002C66EB" w:rsidRPr="002C66EB" w:rsidRDefault="002C66EB" w:rsidP="002C66E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Substance use history and behavioral functioning</w:t>
      </w:r>
    </w:p>
    <w:p w14:paraId="6C731182" w14:textId="77777777" w:rsidR="002C66EB" w:rsidRPr="002C66EB" w:rsidRDefault="002C66EB" w:rsidP="002C66E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Document the history of present illness and current level of functioning.</w:t>
      </w:r>
    </w:p>
    <w:p w14:paraId="15738F1B"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It Matters:</w:t>
      </w:r>
      <w:r w:rsidRPr="002C66EB">
        <w:rPr>
          <w:rFonts w:ascii="Times New Roman" w:eastAsia="Times New Roman" w:hAnsi="Times New Roman" w:cs="Times New Roman"/>
          <w:kern w:val="0"/>
          <w14:ligatures w14:val="none"/>
        </w:rPr>
        <w:br/>
        <w:t xml:space="preserve">This clinical snapshot determines </w:t>
      </w:r>
      <w:r w:rsidRPr="002C66EB">
        <w:rPr>
          <w:rFonts w:ascii="Times New Roman" w:eastAsia="Times New Roman" w:hAnsi="Times New Roman" w:cs="Times New Roman"/>
          <w:b/>
          <w:bCs/>
          <w:kern w:val="0"/>
          <w14:ligatures w14:val="none"/>
        </w:rPr>
        <w:t>psychiatric medical necessity</w:t>
      </w:r>
      <w:r w:rsidRPr="002C66EB">
        <w:rPr>
          <w:rFonts w:ascii="Times New Roman" w:eastAsia="Times New Roman" w:hAnsi="Times New Roman" w:cs="Times New Roman"/>
          <w:kern w:val="0"/>
          <w14:ligatures w14:val="none"/>
        </w:rPr>
        <w:t>—a requirement for both clinical appropriateness and insurance reimbursement.</w:t>
      </w:r>
    </w:p>
    <w:p w14:paraId="0D45C16C"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D55E3CC">
          <v:rect id="_x0000_i1062" alt="" style="width:468pt;height:.05pt;mso-width-percent:0;mso-height-percent:0;mso-width-percent:0;mso-height-percent:0" o:hralign="center" o:hrstd="t" o:hr="t" fillcolor="#a0a0a0" stroked="f"/>
        </w:pict>
      </w:r>
    </w:p>
    <w:p w14:paraId="19E4E7BC" w14:textId="77777777" w:rsidR="002C66EB" w:rsidRDefault="002C66EB">
      <w:pPr>
        <w:rPr>
          <w:rFonts w:ascii="Apple Color Emoji" w:eastAsia="Times New Roman" w:hAnsi="Apple Color Emoji" w:cs="Apple Color Emoji"/>
          <w:b/>
          <w:bCs/>
          <w:kern w:val="0"/>
          <w14:ligatures w14:val="none"/>
        </w:rPr>
      </w:pPr>
      <w:r>
        <w:rPr>
          <w:rFonts w:ascii="Apple Color Emoji" w:eastAsia="Times New Roman" w:hAnsi="Apple Color Emoji" w:cs="Apple Color Emoji"/>
          <w:b/>
          <w:bCs/>
          <w:kern w:val="0"/>
          <w14:ligatures w14:val="none"/>
        </w:rPr>
        <w:br w:type="page"/>
      </w:r>
    </w:p>
    <w:p w14:paraId="481A1211" w14:textId="44B975B1"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lastRenderedPageBreak/>
        <w:t>Step 5: Psychiatric Review &amp; Approval</w:t>
      </w:r>
    </w:p>
    <w:p w14:paraId="2B33FB1B"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What to Do:</w:t>
      </w:r>
    </w:p>
    <w:p w14:paraId="043507FD" w14:textId="77777777" w:rsidR="002C66EB" w:rsidRPr="002C66EB" w:rsidRDefault="002C66EB" w:rsidP="002C66E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Summarize the clinical findings and present them to the on-call psychiatrist.</w:t>
      </w:r>
    </w:p>
    <w:p w14:paraId="01802BD6" w14:textId="77777777" w:rsidR="002C66EB" w:rsidRPr="002C66EB" w:rsidRDefault="002C66EB" w:rsidP="002C66E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Obtain approval for:</w:t>
      </w:r>
    </w:p>
    <w:p w14:paraId="2D1E69B0" w14:textId="77777777" w:rsidR="002C66EB" w:rsidRPr="002C66EB" w:rsidRDefault="002C66EB" w:rsidP="002C66E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Diagnosis or provisional diagnosis</w:t>
      </w:r>
    </w:p>
    <w:p w14:paraId="02C96094" w14:textId="77777777" w:rsidR="002C66EB" w:rsidRPr="002C66EB" w:rsidRDefault="002C66EB" w:rsidP="002C66E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Recommended level of care (inpatient, IOP, PHP)</w:t>
      </w:r>
    </w:p>
    <w:p w14:paraId="028AD25E" w14:textId="77777777" w:rsidR="002C66EB" w:rsidRPr="002C66EB" w:rsidRDefault="002C66EB" w:rsidP="002C66E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Confirmation that the patient is appropriate for admission</w:t>
      </w:r>
    </w:p>
    <w:p w14:paraId="22B50BA6" w14:textId="77777777" w:rsidR="002C66EB" w:rsidRPr="002C66EB" w:rsidRDefault="002C66EB" w:rsidP="002C66E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Document the psychiatrist’s recommendation and name.</w:t>
      </w:r>
    </w:p>
    <w:p w14:paraId="168CA792"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It Matters:</w:t>
      </w:r>
      <w:r w:rsidRPr="002C66EB">
        <w:rPr>
          <w:rFonts w:ascii="Times New Roman" w:eastAsia="Times New Roman" w:hAnsi="Times New Roman" w:cs="Times New Roman"/>
          <w:kern w:val="0"/>
          <w14:ligatures w14:val="none"/>
        </w:rPr>
        <w:br/>
        <w:t>Only a licensed psychiatrist can make the final call for psychiatric admissions. Their input is necessary to certify the admission under medical necessity.</w:t>
      </w:r>
    </w:p>
    <w:p w14:paraId="2D055270"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9D67D40">
          <v:rect id="_x0000_i1061" alt="" style="width:468pt;height:.05pt;mso-width-percent:0;mso-height-percent:0;mso-width-percent:0;mso-height-percent:0" o:hralign="center" o:hrstd="t" o:hr="t" fillcolor="#a0a0a0" stroked="f"/>
        </w:pict>
      </w:r>
    </w:p>
    <w:p w14:paraId="40384BF8" w14:textId="3AD14C85"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t>Step 6: Benefit Verification</w:t>
      </w:r>
    </w:p>
    <w:p w14:paraId="4AC750E8"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What to Do:</w:t>
      </w:r>
    </w:p>
    <w:p w14:paraId="5B77B46A" w14:textId="77777777" w:rsidR="002C66EB" w:rsidRPr="002C66EB" w:rsidRDefault="002C66EB" w:rsidP="002C66E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Initiate insurance verification using IVR, payer portal, or by contacting the insurer directly.</w:t>
      </w:r>
    </w:p>
    <w:p w14:paraId="1A512213" w14:textId="77777777" w:rsidR="002C66EB" w:rsidRPr="002C66EB" w:rsidRDefault="002C66EB" w:rsidP="002C66E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Collect:</w:t>
      </w:r>
    </w:p>
    <w:p w14:paraId="3594E508" w14:textId="77777777" w:rsidR="002C66EB" w:rsidRPr="002C66EB" w:rsidRDefault="002C66EB" w:rsidP="002C66E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Plan type (Medicare, Medicaid, Commercial, Dual)</w:t>
      </w:r>
    </w:p>
    <w:p w14:paraId="2C232B3D" w14:textId="77777777" w:rsidR="002C66EB" w:rsidRPr="002C66EB" w:rsidRDefault="002C66EB" w:rsidP="002C66E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Deductible status, co-pays, out-of-pocket max</w:t>
      </w:r>
    </w:p>
    <w:p w14:paraId="5C3E9A00" w14:textId="77777777" w:rsidR="002C66EB" w:rsidRPr="002C66EB" w:rsidRDefault="002C66EB" w:rsidP="002C66E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Preauthorization needs or out-of-network approval</w:t>
      </w:r>
    </w:p>
    <w:p w14:paraId="68A6DFD8" w14:textId="77777777" w:rsidR="002C66EB" w:rsidRPr="002C66EB" w:rsidRDefault="002C66EB" w:rsidP="002C66E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Notes about COBRA, secondary insurance, or denials</w:t>
      </w:r>
    </w:p>
    <w:p w14:paraId="64E6463F" w14:textId="77777777" w:rsidR="002C66EB" w:rsidRPr="002C66EB" w:rsidRDefault="002C66EB" w:rsidP="002C66E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Communicate any insurance “red flags” to intake and leadership.</w:t>
      </w:r>
    </w:p>
    <w:p w14:paraId="7121C47D"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It Matters:</w:t>
      </w:r>
      <w:r w:rsidRPr="002C66EB">
        <w:rPr>
          <w:rFonts w:ascii="Times New Roman" w:eastAsia="Times New Roman" w:hAnsi="Times New Roman" w:cs="Times New Roman"/>
          <w:kern w:val="0"/>
          <w14:ligatures w14:val="none"/>
        </w:rPr>
        <w:br/>
        <w:t>Failing to verify benefits before admission risks claim denials, unbillable days, and compliance audits—especially for Medicaid and managed care plans.</w:t>
      </w:r>
    </w:p>
    <w:p w14:paraId="377BD4F0"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5C9046">
          <v:rect id="_x0000_i1060" alt="" style="width:468pt;height:.05pt;mso-width-percent:0;mso-height-percent:0;mso-width-percent:0;mso-height-percent:0" o:hralign="center" o:hrstd="t" o:hr="t" fillcolor="#a0a0a0" stroked="f"/>
        </w:pict>
      </w:r>
    </w:p>
    <w:p w14:paraId="24A4D9D3" w14:textId="3892816E"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t>Step 7: Documentation &amp; Packet Completion</w:t>
      </w:r>
    </w:p>
    <w:p w14:paraId="634536F0"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What to Do:</w:t>
      </w:r>
    </w:p>
    <w:p w14:paraId="7159735F" w14:textId="77777777" w:rsidR="002C66EB" w:rsidRPr="002C66EB" w:rsidRDefault="002C66EB" w:rsidP="002C66E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Finalize and ensure all required documents are fully completed:</w:t>
      </w:r>
    </w:p>
    <w:p w14:paraId="0FABE9B8" w14:textId="77777777" w:rsidR="002C66EB" w:rsidRPr="002C66EB" w:rsidRDefault="002C66EB" w:rsidP="002C66EB">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Patient intake form</w:t>
      </w:r>
    </w:p>
    <w:p w14:paraId="5131E207" w14:textId="77777777" w:rsidR="002C66EB" w:rsidRPr="002C66EB" w:rsidRDefault="002C66EB" w:rsidP="002C66EB">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Signed treatment consent, HIPAA authorization, and ROI</w:t>
      </w:r>
    </w:p>
    <w:p w14:paraId="01B90A80" w14:textId="77777777" w:rsidR="002C66EB" w:rsidRPr="002C66EB" w:rsidRDefault="002C66EB" w:rsidP="002C66EB">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Completed pre-admission clinical assessment</w:t>
      </w:r>
    </w:p>
    <w:p w14:paraId="32D48FD1" w14:textId="77777777" w:rsidR="002C66EB" w:rsidRPr="002C66EB" w:rsidRDefault="002C66EB" w:rsidP="002C66EB">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Insurance card copies, legal documents (OPC/PEC), and referral source notes</w:t>
      </w:r>
    </w:p>
    <w:p w14:paraId="1F9E0B10" w14:textId="77777777" w:rsidR="002C66EB" w:rsidRPr="002C66EB" w:rsidRDefault="002C66EB" w:rsidP="002C66E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Prepare for internal handoff by compiling one clear packet.</w:t>
      </w:r>
    </w:p>
    <w:p w14:paraId="0D1B2FE5"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lastRenderedPageBreak/>
        <w:t>Why It Matters:</w:t>
      </w:r>
      <w:r w:rsidRPr="002C66EB">
        <w:rPr>
          <w:rFonts w:ascii="Times New Roman" w:eastAsia="Times New Roman" w:hAnsi="Times New Roman" w:cs="Times New Roman"/>
          <w:kern w:val="0"/>
          <w14:ligatures w14:val="none"/>
        </w:rPr>
        <w:br/>
        <w:t>Thorough documentation ensures smooth internal handoffs, protects against audit findings, and forms the legal foundation for treatment.</w:t>
      </w:r>
    </w:p>
    <w:p w14:paraId="62E38C88" w14:textId="243CA28F"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3B6B2D">
          <v:rect id="_x0000_i1059" alt="" style="width:468pt;height:.05pt;mso-width-percent:0;mso-height-percent:0;mso-width-percent:0;mso-height-percent:0" o:hralign="center" o:hrstd="t" o:hr="t" fillcolor="#a0a0a0" stroked="f"/>
        </w:pict>
      </w:r>
      <w:r w:rsidR="002C66EB" w:rsidRPr="002C66EB">
        <w:rPr>
          <w:rFonts w:ascii="Times New Roman" w:eastAsia="Times New Roman" w:hAnsi="Times New Roman" w:cs="Times New Roman"/>
          <w:b/>
          <w:bCs/>
          <w:kern w:val="0"/>
          <w14:ligatures w14:val="none"/>
        </w:rPr>
        <w:t xml:space="preserve"> Step 8: Matching &amp; Bed Assignment</w:t>
      </w:r>
    </w:p>
    <w:p w14:paraId="4E9334EB"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What to Do:</w:t>
      </w:r>
    </w:p>
    <w:p w14:paraId="0061EA5A" w14:textId="77777777" w:rsidR="002C66EB" w:rsidRPr="002C66EB" w:rsidRDefault="002C66EB" w:rsidP="002C66E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Assign patient to the most appropriate unit based on:</w:t>
      </w:r>
    </w:p>
    <w:p w14:paraId="47681D0B" w14:textId="77777777" w:rsidR="002C66EB" w:rsidRPr="002C66EB" w:rsidRDefault="002C66EB" w:rsidP="002C66EB">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Gender identity and roommate safety</w:t>
      </w:r>
    </w:p>
    <w:p w14:paraId="002EF822" w14:textId="77777777" w:rsidR="002C66EB" w:rsidRPr="002C66EB" w:rsidRDefault="002C66EB" w:rsidP="002C66EB">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Age category (geriatric, adult, adolescent)</w:t>
      </w:r>
    </w:p>
    <w:p w14:paraId="24F1D6A4" w14:textId="77777777" w:rsidR="002C66EB" w:rsidRPr="002C66EB" w:rsidRDefault="002C66EB" w:rsidP="002C66EB">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Clinical acuity and supervision needs</w:t>
      </w:r>
    </w:p>
    <w:p w14:paraId="6CC42473" w14:textId="77777777" w:rsidR="002C66EB" w:rsidRPr="002C66EB" w:rsidRDefault="002C66EB" w:rsidP="002C66E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Consider additional needs such as:</w:t>
      </w:r>
    </w:p>
    <w:p w14:paraId="3BB733F5" w14:textId="77777777" w:rsidR="002C66EB" w:rsidRPr="002C66EB" w:rsidRDefault="002C66EB" w:rsidP="002C66EB">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ADA-compliant rooms</w:t>
      </w:r>
    </w:p>
    <w:p w14:paraId="7E51124B" w14:textId="77777777" w:rsidR="002C66EB" w:rsidRPr="002C66EB" w:rsidRDefault="002C66EB" w:rsidP="002C66EB">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Isolation precautions</w:t>
      </w:r>
    </w:p>
    <w:p w14:paraId="0737D4B7" w14:textId="77777777" w:rsidR="002C66EB" w:rsidRPr="002C66EB" w:rsidRDefault="002C66EB" w:rsidP="002C66EB">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Medication storage or refrigeration</w:t>
      </w:r>
    </w:p>
    <w:p w14:paraId="03E82190"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It Matters:</w:t>
      </w:r>
      <w:r w:rsidRPr="002C66EB">
        <w:rPr>
          <w:rFonts w:ascii="Times New Roman" w:eastAsia="Times New Roman" w:hAnsi="Times New Roman" w:cs="Times New Roman"/>
          <w:kern w:val="0"/>
          <w14:ligatures w14:val="none"/>
        </w:rPr>
        <w:br/>
        <w:t>Poor placement affects milieu safety, patient satisfaction, and staff effectiveness. Strategic bed matching improves outcomes and reduces incidents.</w:t>
      </w:r>
    </w:p>
    <w:p w14:paraId="7B5C43D0"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583F6CD">
          <v:rect id="_x0000_i1058" alt="" style="width:468pt;height:.05pt;mso-width-percent:0;mso-height-percent:0;mso-width-percent:0;mso-height-percent:0" o:hralign="center" o:hrstd="t" o:hr="t" fillcolor="#a0a0a0" stroked="f"/>
        </w:pict>
      </w:r>
    </w:p>
    <w:p w14:paraId="1DA26CBD" w14:textId="1ECBFD2F"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t>Step 9: Transportation Coordination</w:t>
      </w:r>
    </w:p>
    <w:p w14:paraId="7B3250F8"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What to Do:</w:t>
      </w:r>
    </w:p>
    <w:p w14:paraId="545930C7" w14:textId="77777777" w:rsidR="002C66EB" w:rsidRPr="002C66EB" w:rsidRDefault="002C66EB" w:rsidP="002C66E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Confirm mode of transportation:</w:t>
      </w:r>
    </w:p>
    <w:p w14:paraId="7CB137B4" w14:textId="77777777" w:rsidR="002C66EB" w:rsidRPr="002C66EB" w:rsidRDefault="002C66EB" w:rsidP="002C66EB">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Facility van, ambulance, or third-party service</w:t>
      </w:r>
    </w:p>
    <w:p w14:paraId="35B2E66F" w14:textId="77777777" w:rsidR="002C66EB" w:rsidRPr="002C66EB" w:rsidRDefault="002C66EB" w:rsidP="002C66E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Identify whether the patient needs:</w:t>
      </w:r>
    </w:p>
    <w:p w14:paraId="2B3EF556" w14:textId="77777777" w:rsidR="002C66EB" w:rsidRPr="002C66EB" w:rsidRDefault="002C66EB" w:rsidP="002C66EB">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An escort (parent, law enforcement, hospital staff)</w:t>
      </w:r>
    </w:p>
    <w:p w14:paraId="2956A2E2" w14:textId="77777777" w:rsidR="002C66EB" w:rsidRPr="002C66EB" w:rsidRDefault="002C66EB" w:rsidP="002C66EB">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Medication for transport</w:t>
      </w:r>
    </w:p>
    <w:p w14:paraId="7BB38C3E" w14:textId="77777777" w:rsidR="002C66EB" w:rsidRPr="002C66EB" w:rsidRDefault="002C66EB" w:rsidP="002C66E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Log ETA, point of contact, and any delays in the command center dashboard.</w:t>
      </w:r>
    </w:p>
    <w:p w14:paraId="3218260D"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It Matters:</w:t>
      </w:r>
      <w:r w:rsidRPr="002C66EB">
        <w:rPr>
          <w:rFonts w:ascii="Times New Roman" w:eastAsia="Times New Roman" w:hAnsi="Times New Roman" w:cs="Times New Roman"/>
          <w:kern w:val="0"/>
          <w14:ligatures w14:val="none"/>
        </w:rPr>
        <w:br/>
        <w:t>Transportation is often the final bottleneck to admission. Late or failed pickups lead to lost beds, frustrated families, and delayed care.</w:t>
      </w:r>
    </w:p>
    <w:p w14:paraId="6378A067"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569411">
          <v:rect id="_x0000_i1057" alt="" style="width:468pt;height:.05pt;mso-width-percent:0;mso-height-percent:0;mso-width-percent:0;mso-height-percent:0" o:hralign="center" o:hrstd="t" o:hr="t" fillcolor="#a0a0a0" stroked="f"/>
        </w:pict>
      </w:r>
    </w:p>
    <w:p w14:paraId="46A178D7" w14:textId="77777777" w:rsidR="002C66EB" w:rsidRDefault="002C66EB">
      <w:pPr>
        <w:rPr>
          <w:rFonts w:ascii="Apple Color Emoji" w:eastAsia="Times New Roman" w:hAnsi="Apple Color Emoji" w:cs="Apple Color Emoji"/>
          <w:b/>
          <w:bCs/>
          <w:kern w:val="0"/>
          <w14:ligatures w14:val="none"/>
        </w:rPr>
      </w:pPr>
      <w:r>
        <w:rPr>
          <w:rFonts w:ascii="Apple Color Emoji" w:eastAsia="Times New Roman" w:hAnsi="Apple Color Emoji" w:cs="Apple Color Emoji"/>
          <w:b/>
          <w:bCs/>
          <w:kern w:val="0"/>
          <w14:ligatures w14:val="none"/>
        </w:rPr>
        <w:br w:type="page"/>
      </w:r>
    </w:p>
    <w:p w14:paraId="25AE8DE6" w14:textId="53C1A345" w:rsidR="002C66EB" w:rsidRPr="002C66EB" w:rsidRDefault="002C66EB" w:rsidP="002C66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66EB">
        <w:rPr>
          <w:rFonts w:ascii="Times New Roman" w:eastAsia="Times New Roman" w:hAnsi="Times New Roman" w:cs="Times New Roman"/>
          <w:b/>
          <w:bCs/>
          <w:kern w:val="0"/>
          <w14:ligatures w14:val="none"/>
        </w:rPr>
        <w:lastRenderedPageBreak/>
        <w:t>Step 10: Admission &amp; Handoff</w:t>
      </w:r>
    </w:p>
    <w:p w14:paraId="34867B69"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What to Do:</w:t>
      </w:r>
    </w:p>
    <w:p w14:paraId="2639303B" w14:textId="77777777" w:rsidR="002C66EB" w:rsidRPr="002C66EB" w:rsidRDefault="002C66EB" w:rsidP="002C66E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kern w:val="0"/>
          <w14:ligatures w14:val="none"/>
        </w:rPr>
        <w:t>Greet the patient and their family warmly at the door.\n- Provide a brief unit orientation: schedule, rules, visitation, contact info.\n- Handoff to receiving nurse and therapist includes:\n - Completed intake packet\n - Any safety precautions\n - Summary of referral history and risk factors\n- Confirm that orders, chart documentation, and MAR are active and accurate.</w:t>
      </w:r>
    </w:p>
    <w:p w14:paraId="7AFC0D0A" w14:textId="77777777" w:rsidR="002C66EB" w:rsidRPr="002C66EB" w:rsidRDefault="002C66EB" w:rsidP="002C66EB">
      <w:pPr>
        <w:spacing w:before="100" w:beforeAutospacing="1" w:after="100" w:afterAutospacing="1" w:line="240" w:lineRule="auto"/>
        <w:rPr>
          <w:rFonts w:ascii="Times New Roman" w:eastAsia="Times New Roman" w:hAnsi="Times New Roman" w:cs="Times New Roman"/>
          <w:kern w:val="0"/>
          <w14:ligatures w14:val="none"/>
        </w:rPr>
      </w:pPr>
      <w:r w:rsidRPr="002C66EB">
        <w:rPr>
          <w:rFonts w:ascii="Times New Roman" w:eastAsia="Times New Roman" w:hAnsi="Times New Roman" w:cs="Times New Roman"/>
          <w:b/>
          <w:bCs/>
          <w:kern w:val="0"/>
          <w14:ligatures w14:val="none"/>
        </w:rPr>
        <w:t>Why It Matters:</w:t>
      </w:r>
      <w:r w:rsidRPr="002C66EB">
        <w:rPr>
          <w:rFonts w:ascii="Times New Roman" w:eastAsia="Times New Roman" w:hAnsi="Times New Roman" w:cs="Times New Roman"/>
          <w:kern w:val="0"/>
          <w14:ligatures w14:val="none"/>
        </w:rPr>
        <w:br/>
        <w:t>The final handoff must feel seamless, safe, and respectful. This step is critical for first impressions, treatment engagement, and family trust.</w:t>
      </w:r>
    </w:p>
    <w:p w14:paraId="328D2F05"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04FC4D">
          <v:rect id="_x0000_i1056" alt="" style="width:468pt;height:.05pt;mso-width-percent:0;mso-height-percent:0;mso-width-percent:0;mso-height-percent:0" o:hralign="center" o:hrstd="t" o:hr="t" fillcolor="#a0a0a0" stroked="f"/>
        </w:pict>
      </w:r>
    </w:p>
    <w:p w14:paraId="5C86E552" w14:textId="77777777" w:rsidR="002C66EB" w:rsidRDefault="002C66EB">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88BB3A8" w14:textId="77777777" w:rsidR="00E06D5E" w:rsidRPr="00E06D5E" w:rsidRDefault="00E06D5E" w:rsidP="00E06D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6D5E">
        <w:rPr>
          <w:rFonts w:ascii="Times New Roman" w:eastAsia="Times New Roman" w:hAnsi="Times New Roman" w:cs="Times New Roman"/>
          <w:b/>
          <w:bCs/>
          <w:kern w:val="0"/>
          <w:sz w:val="27"/>
          <w:szCs w:val="27"/>
          <w14:ligatures w14:val="none"/>
        </w:rPr>
        <w:lastRenderedPageBreak/>
        <w:t>SECTION 4: SPECIAL TOPICS</w:t>
      </w:r>
    </w:p>
    <w:p w14:paraId="3277FE96"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The admissions process is often dynamic, with cases that fall outside of standard workflows. This section outlines essential protocols and best practices for managing high-variability situations—such as walk-ins, patient placement preferences, and the critical role of Service Development Representatives (SDRs). Each of these topics plays a vital role in maintaining access, equity, patient satisfaction, and community trust.</w:t>
      </w:r>
    </w:p>
    <w:p w14:paraId="406E9011"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481607">
          <v:rect id="_x0000_i1055" alt="" style="width:468pt;height:.05pt;mso-width-percent:0;mso-height-percent:0;mso-width-percent:0;mso-height-percent:0" o:hralign="center" o:hrstd="t" o:hr="t" fillcolor="#a0a0a0" stroked="f"/>
        </w:pict>
      </w:r>
    </w:p>
    <w:p w14:paraId="6C99B244" w14:textId="658E1120"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Walk-ins</w:t>
      </w:r>
    </w:p>
    <w:p w14:paraId="5F58CF97"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What to Do:</w:t>
      </w:r>
    </w:p>
    <w:p w14:paraId="6D20BB7B" w14:textId="77777777" w:rsidR="00E06D5E" w:rsidRPr="00E06D5E" w:rsidRDefault="00E06D5E" w:rsidP="00E06D5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Greet walk-in patients and families with warmth and professionalism.</w:t>
      </w:r>
    </w:p>
    <w:p w14:paraId="1BC53F8B" w14:textId="77777777" w:rsidR="00E06D5E" w:rsidRPr="00E06D5E" w:rsidRDefault="00E06D5E" w:rsidP="00E06D5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Immediately alert the </w:t>
      </w:r>
      <w:r w:rsidRPr="00E06D5E">
        <w:rPr>
          <w:rFonts w:ascii="Times New Roman" w:eastAsia="Times New Roman" w:hAnsi="Times New Roman" w:cs="Times New Roman"/>
          <w:b/>
          <w:bCs/>
          <w:kern w:val="0"/>
          <w14:ligatures w14:val="none"/>
        </w:rPr>
        <w:t>Lead Intake Nurse or Clinician</w:t>
      </w:r>
      <w:r w:rsidRPr="00E06D5E">
        <w:rPr>
          <w:rFonts w:ascii="Times New Roman" w:eastAsia="Times New Roman" w:hAnsi="Times New Roman" w:cs="Times New Roman"/>
          <w:kern w:val="0"/>
          <w14:ligatures w14:val="none"/>
        </w:rPr>
        <w:t xml:space="preserve"> to initiate a rapid clinical screen.</w:t>
      </w:r>
    </w:p>
    <w:p w14:paraId="79237383" w14:textId="77777777" w:rsidR="00E06D5E" w:rsidRPr="00E06D5E" w:rsidRDefault="00E06D5E" w:rsidP="00E06D5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Triage based on acuity: If the individual is in crisis (SI/HI, psychosis, severe agitation), they must be prioritized.</w:t>
      </w:r>
    </w:p>
    <w:p w14:paraId="60135562" w14:textId="77777777" w:rsidR="00E06D5E" w:rsidRPr="00E06D5E" w:rsidRDefault="00E06D5E" w:rsidP="00E06D5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Follow the same 10-step admissions process used for scheduled referrals—no shortcuts.</w:t>
      </w:r>
    </w:p>
    <w:p w14:paraId="60BF86E9" w14:textId="77777777" w:rsidR="00E06D5E" w:rsidRPr="00E06D5E" w:rsidRDefault="00E06D5E" w:rsidP="00E06D5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Ensure medical clearance is obtained before proceeding with admission.</w:t>
      </w:r>
    </w:p>
    <w:p w14:paraId="2EA79195" w14:textId="77777777" w:rsidR="00E06D5E" w:rsidRPr="00E06D5E" w:rsidRDefault="00E06D5E" w:rsidP="00E06D5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If unable to admit due to capacity, assist with referrals to alternate facilities or place on an appropriate waitlist.</w:t>
      </w:r>
    </w:p>
    <w:p w14:paraId="6D88BB0C"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Why It Matters:</w:t>
      </w:r>
    </w:p>
    <w:p w14:paraId="317CA4DC" w14:textId="77777777" w:rsidR="00E06D5E" w:rsidRPr="00E06D5E" w:rsidRDefault="00E06D5E" w:rsidP="00E06D5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Walk-ins are often patients and families in distress who chose to show up in person rather than call. Their courage must be met with urgency and care.</w:t>
      </w:r>
    </w:p>
    <w:p w14:paraId="15CD5C2C" w14:textId="77777777" w:rsidR="00E06D5E" w:rsidRPr="00E06D5E" w:rsidRDefault="00E06D5E" w:rsidP="00E06D5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Failing to triage walk-ins appropriately may lead to safety incidents, EMTALA violations, or public backlash.</w:t>
      </w:r>
    </w:p>
    <w:p w14:paraId="0255CC12" w14:textId="77777777" w:rsidR="00E06D5E" w:rsidRPr="00E06D5E" w:rsidRDefault="00E06D5E" w:rsidP="00E06D5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Providing consistency in process—whether the patient arrives by ambulance, referral, or on foot—reinforces the reliability of your intake system.</w:t>
      </w:r>
    </w:p>
    <w:p w14:paraId="5FE6D0D4" w14:textId="77777777" w:rsidR="00520678" w:rsidRDefault="0091137E" w:rsidP="00E06D5E">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noProof/>
          <w:kern w:val="0"/>
        </w:rPr>
        <w:pict w14:anchorId="441837B4">
          <v:rect id="_x0000_i1054" alt="" style="width:468pt;height:.05pt;mso-width-percent:0;mso-height-percent:0;mso-width-percent:0;mso-height-percent:0" o:hralign="center" o:hrstd="t" o:hr="t" fillcolor="#a0a0a0" stroked="f"/>
        </w:pict>
      </w:r>
      <w:r w:rsidR="00E06D5E" w:rsidRPr="00E06D5E">
        <w:rPr>
          <w:rFonts w:ascii="Times New Roman" w:eastAsia="Times New Roman" w:hAnsi="Times New Roman" w:cs="Times New Roman"/>
          <w:b/>
          <w:bCs/>
          <w:kern w:val="0"/>
          <w14:ligatures w14:val="none"/>
        </w:rPr>
        <w:t xml:space="preserve"> </w:t>
      </w:r>
    </w:p>
    <w:p w14:paraId="7FA00235" w14:textId="77777777" w:rsidR="00520678" w:rsidRDefault="00520678">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18417676" w14:textId="34E63C31"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lastRenderedPageBreak/>
        <w:t>Patient Service Preferences</w:t>
      </w:r>
    </w:p>
    <w:p w14:paraId="226A3FAC"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What to Do:</w:t>
      </w:r>
    </w:p>
    <w:p w14:paraId="611962CE" w14:textId="77777777" w:rsidR="00E06D5E" w:rsidRPr="00E06D5E" w:rsidRDefault="00E06D5E" w:rsidP="00E06D5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Respect patient or family preferences regarding the facility, program, or physician.</w:t>
      </w:r>
    </w:p>
    <w:p w14:paraId="25F050F4" w14:textId="77777777" w:rsidR="00E06D5E" w:rsidRPr="00E06D5E" w:rsidRDefault="00E06D5E" w:rsidP="00E06D5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Explain that </w:t>
      </w:r>
      <w:r w:rsidRPr="00E06D5E">
        <w:rPr>
          <w:rFonts w:ascii="Times New Roman" w:eastAsia="Times New Roman" w:hAnsi="Times New Roman" w:cs="Times New Roman"/>
          <w:b/>
          <w:bCs/>
          <w:kern w:val="0"/>
          <w14:ligatures w14:val="none"/>
        </w:rPr>
        <w:t>placement is ultimately based on medical necessity</w:t>
      </w:r>
      <w:r w:rsidRPr="00E06D5E">
        <w:rPr>
          <w:rFonts w:ascii="Times New Roman" w:eastAsia="Times New Roman" w:hAnsi="Times New Roman" w:cs="Times New Roman"/>
          <w:kern w:val="0"/>
          <w14:ligatures w14:val="none"/>
        </w:rPr>
        <w:t xml:space="preserve"> and clinical fit—not convenience, insurance familiarity, or proximity.</w:t>
      </w:r>
    </w:p>
    <w:p w14:paraId="0F5E6B7F" w14:textId="77777777" w:rsidR="00E06D5E" w:rsidRPr="00E06D5E" w:rsidRDefault="00E06D5E" w:rsidP="00E06D5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Offer choices when possible:</w:t>
      </w:r>
    </w:p>
    <w:p w14:paraId="344EAC39" w14:textId="77777777" w:rsidR="00E06D5E" w:rsidRPr="00E06D5E" w:rsidRDefault="00E06D5E" w:rsidP="00E06D5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If their preferred program is not clinically appropriate, provide a rationale and offer alternatives.</w:t>
      </w:r>
    </w:p>
    <w:p w14:paraId="4931CC51" w14:textId="77777777" w:rsidR="00E06D5E" w:rsidRPr="00E06D5E" w:rsidRDefault="00E06D5E" w:rsidP="00E06D5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If the preferred program is appropriate but full, offer to place them on a waitlist and discuss interim support options.</w:t>
      </w:r>
    </w:p>
    <w:p w14:paraId="16780F74" w14:textId="77777777" w:rsidR="00E06D5E" w:rsidRPr="00E06D5E" w:rsidRDefault="00E06D5E" w:rsidP="00E06D5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Document all expressed preferences and clearly note any refusals or objections.</w:t>
      </w:r>
    </w:p>
    <w:p w14:paraId="16F58852" w14:textId="77777777" w:rsidR="00E06D5E" w:rsidRPr="00E06D5E" w:rsidRDefault="00E06D5E" w:rsidP="00E06D5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Follow up on waitlist cases to reassess acuity and availability.</w:t>
      </w:r>
    </w:p>
    <w:p w14:paraId="647B6796"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Why It Matters:</w:t>
      </w:r>
    </w:p>
    <w:p w14:paraId="6D41CF5D" w14:textId="77777777" w:rsidR="00E06D5E" w:rsidRPr="00E06D5E" w:rsidRDefault="00E06D5E" w:rsidP="00E06D5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Patient satisfaction starts with feeling heard and respected—even when their preferred choice isn’t possible.</w:t>
      </w:r>
    </w:p>
    <w:p w14:paraId="10BD15E1" w14:textId="77777777" w:rsidR="00E06D5E" w:rsidRPr="00E06D5E" w:rsidRDefault="00E06D5E" w:rsidP="00E06D5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Navigating preferences with empathy builds trust, reduces complaints, and decreases drop-off.</w:t>
      </w:r>
    </w:p>
    <w:p w14:paraId="40FD0C37" w14:textId="77777777" w:rsidR="00E06D5E" w:rsidRPr="00E06D5E" w:rsidRDefault="00E06D5E" w:rsidP="00E06D5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It also ensures that </w:t>
      </w:r>
      <w:r w:rsidRPr="00E06D5E">
        <w:rPr>
          <w:rFonts w:ascii="Times New Roman" w:eastAsia="Times New Roman" w:hAnsi="Times New Roman" w:cs="Times New Roman"/>
          <w:b/>
          <w:bCs/>
          <w:kern w:val="0"/>
          <w14:ligatures w14:val="none"/>
        </w:rPr>
        <w:t>clinical integrity is maintained</w:t>
      </w:r>
      <w:r w:rsidRPr="00E06D5E">
        <w:rPr>
          <w:rFonts w:ascii="Times New Roman" w:eastAsia="Times New Roman" w:hAnsi="Times New Roman" w:cs="Times New Roman"/>
          <w:kern w:val="0"/>
          <w14:ligatures w14:val="none"/>
        </w:rPr>
        <w:t xml:space="preserve"> by placing patients in the program best suited to their diagnosis and acuity.</w:t>
      </w:r>
    </w:p>
    <w:p w14:paraId="46CA6BA7"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33ED07">
          <v:rect id="_x0000_i1053" alt="" style="width:468pt;height:.05pt;mso-width-percent:0;mso-height-percent:0;mso-width-percent:0;mso-height-percent:0" o:hralign="center" o:hrstd="t" o:hr="t" fillcolor="#a0a0a0" stroked="f"/>
        </w:pict>
      </w:r>
    </w:p>
    <w:p w14:paraId="5E90BF0E" w14:textId="303CA6D1"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 xml:space="preserve"> Service Development Representatives (SDRs)</w:t>
      </w:r>
    </w:p>
    <w:p w14:paraId="71FE70AC"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What to Do:</w:t>
      </w:r>
    </w:p>
    <w:p w14:paraId="4935689A" w14:textId="77777777" w:rsidR="00E06D5E" w:rsidRPr="00E06D5E" w:rsidRDefault="00E06D5E" w:rsidP="00E06D5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Serve as the </w:t>
      </w:r>
      <w:r w:rsidRPr="00E06D5E">
        <w:rPr>
          <w:rFonts w:ascii="Times New Roman" w:eastAsia="Times New Roman" w:hAnsi="Times New Roman" w:cs="Times New Roman"/>
          <w:b/>
          <w:bCs/>
          <w:kern w:val="0"/>
          <w14:ligatures w14:val="none"/>
        </w:rPr>
        <w:t>face of the hospital/program</w:t>
      </w:r>
      <w:r w:rsidRPr="00E06D5E">
        <w:rPr>
          <w:rFonts w:ascii="Times New Roman" w:eastAsia="Times New Roman" w:hAnsi="Times New Roman" w:cs="Times New Roman"/>
          <w:kern w:val="0"/>
          <w14:ligatures w14:val="none"/>
        </w:rPr>
        <w:t xml:space="preserve"> to referral sources such as emergency departments, therapists, clinics, schools, and care coordinators.</w:t>
      </w:r>
    </w:p>
    <w:p w14:paraId="20FAA800" w14:textId="77777777" w:rsidR="00E06D5E" w:rsidRPr="00E06D5E" w:rsidRDefault="00E06D5E" w:rsidP="00E06D5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Maintain regular outreach with each referral source to:</w:t>
      </w:r>
    </w:p>
    <w:p w14:paraId="4B0BC97D" w14:textId="77777777" w:rsidR="00E06D5E" w:rsidRPr="00E06D5E" w:rsidRDefault="00E06D5E" w:rsidP="00E06D5E">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Share program updates (e.g., new staff, expanded beds, eligibility changes)</w:t>
      </w:r>
    </w:p>
    <w:p w14:paraId="1E3D90D0" w14:textId="77777777" w:rsidR="00E06D5E" w:rsidRPr="00E06D5E" w:rsidRDefault="00E06D5E" w:rsidP="00E06D5E">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Provide marketing materials, contact cards, and admission packets</w:t>
      </w:r>
    </w:p>
    <w:p w14:paraId="3AE92B38" w14:textId="77777777" w:rsidR="00E06D5E" w:rsidRPr="00E06D5E" w:rsidRDefault="00E06D5E" w:rsidP="00E06D5E">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Offer training or in-services on how to refer and what to expect</w:t>
      </w:r>
    </w:p>
    <w:p w14:paraId="1E2BCAE7" w14:textId="77777777" w:rsidR="00E06D5E" w:rsidRPr="00E06D5E" w:rsidRDefault="00E06D5E" w:rsidP="00E06D5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Monitor referral activity and feedback:</w:t>
      </w:r>
    </w:p>
    <w:p w14:paraId="1113C54E" w14:textId="77777777" w:rsidR="00E06D5E" w:rsidRPr="00E06D5E" w:rsidRDefault="00E06D5E" w:rsidP="00E06D5E">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Track reasons for referral loss or denial</w:t>
      </w:r>
    </w:p>
    <w:p w14:paraId="3E84FC74" w14:textId="77777777" w:rsidR="00E06D5E" w:rsidRPr="00E06D5E" w:rsidRDefault="00E06D5E" w:rsidP="00E06D5E">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Log complaints or service delays</w:t>
      </w:r>
    </w:p>
    <w:p w14:paraId="0ED5D40C" w14:textId="77777777" w:rsidR="00E06D5E" w:rsidRPr="00E06D5E" w:rsidRDefault="00E06D5E" w:rsidP="00E06D5E">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Survey referral satisfaction at regular intervals</w:t>
      </w:r>
    </w:p>
    <w:p w14:paraId="3C348509" w14:textId="77777777" w:rsidR="00E06D5E" w:rsidRPr="00E06D5E" w:rsidRDefault="00E06D5E" w:rsidP="00E06D5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Report back to intake and leadership on trends, barriers, and partnership opportunities.</w:t>
      </w:r>
    </w:p>
    <w:p w14:paraId="45E07858"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Why It Matters:</w:t>
      </w:r>
    </w:p>
    <w:p w14:paraId="4F75AC26" w14:textId="77777777" w:rsidR="00E06D5E" w:rsidRPr="00E06D5E" w:rsidRDefault="00E06D5E" w:rsidP="00E06D5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SDRs are critical to </w:t>
      </w:r>
      <w:r w:rsidRPr="00E06D5E">
        <w:rPr>
          <w:rFonts w:ascii="Times New Roman" w:eastAsia="Times New Roman" w:hAnsi="Times New Roman" w:cs="Times New Roman"/>
          <w:b/>
          <w:bCs/>
          <w:kern w:val="0"/>
          <w14:ligatures w14:val="none"/>
        </w:rPr>
        <w:t>brand perception and referral volume</w:t>
      </w:r>
      <w:r w:rsidRPr="00E06D5E">
        <w:rPr>
          <w:rFonts w:ascii="Times New Roman" w:eastAsia="Times New Roman" w:hAnsi="Times New Roman" w:cs="Times New Roman"/>
          <w:kern w:val="0"/>
          <w14:ligatures w14:val="none"/>
        </w:rPr>
        <w:t>. Most referrers will not call again if their last experience was unprofessional, unclear, or delayed.</w:t>
      </w:r>
    </w:p>
    <w:p w14:paraId="705A0205" w14:textId="77777777" w:rsidR="00E06D5E" w:rsidRPr="00E06D5E" w:rsidRDefault="00E06D5E" w:rsidP="00E06D5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lastRenderedPageBreak/>
        <w:t>They serve as a two-way bridge: bringing referrals in and sending clarity and gratitude out.</w:t>
      </w:r>
    </w:p>
    <w:p w14:paraId="480C8050" w14:textId="77777777" w:rsidR="00E06D5E" w:rsidRPr="00E06D5E" w:rsidRDefault="00E06D5E" w:rsidP="00E06D5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Their ability to educate, support, and respond makes the difference between a one-time referrer and a loyal referral partner.</w:t>
      </w:r>
    </w:p>
    <w:p w14:paraId="22A358B4"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20645AC">
          <v:rect id="_x0000_i1052" alt="" style="width:468pt;height:.05pt;mso-width-percent:0;mso-height-percent:0;mso-width-percent:0;mso-height-percent:0" o:hralign="center" o:hrstd="t" o:hr="t" fillcolor="#a0a0a0" stroked="f"/>
        </w:pict>
      </w:r>
    </w:p>
    <w:p w14:paraId="6F8EAA7C"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Each of these special scenarios—walk-ins, preferences, and SDR engagement—may appear marginal at first glance. In truth, they are leverage points that </w:t>
      </w:r>
      <w:r w:rsidRPr="00E06D5E">
        <w:rPr>
          <w:rFonts w:ascii="Times New Roman" w:eastAsia="Times New Roman" w:hAnsi="Times New Roman" w:cs="Times New Roman"/>
          <w:b/>
          <w:bCs/>
          <w:kern w:val="0"/>
          <w14:ligatures w14:val="none"/>
        </w:rPr>
        <w:t>amplify patient experience, referral loyalty, and operational consistency.</w:t>
      </w:r>
    </w:p>
    <w:p w14:paraId="45E69C7F" w14:textId="77777777" w:rsidR="002C66EB" w:rsidRDefault="002C66EB">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288C34AB" w14:textId="77777777" w:rsidR="00E06D5E" w:rsidRPr="00E06D5E" w:rsidRDefault="00E06D5E" w:rsidP="00E06D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6D5E">
        <w:rPr>
          <w:rFonts w:ascii="Times New Roman" w:eastAsia="Times New Roman" w:hAnsi="Times New Roman" w:cs="Times New Roman"/>
          <w:b/>
          <w:bCs/>
          <w:kern w:val="0"/>
          <w:sz w:val="27"/>
          <w:szCs w:val="27"/>
          <w14:ligatures w14:val="none"/>
        </w:rPr>
        <w:lastRenderedPageBreak/>
        <w:t>SECTION 5: QUALITY, OUTCOMES &amp; INCENTIVES</w:t>
      </w:r>
    </w:p>
    <w:p w14:paraId="25CD52DF"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Centralized intake is not simply a gatekeeping function—it’s a strategic driver of quality, access, and organizational credibility. To ensure success, performance must be measured, outcomes must be tracked, and incentives must be aligned across all roles. This section outlines how we define and reward excellence.</w:t>
      </w:r>
    </w:p>
    <w:p w14:paraId="50F10B2E"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C99BD1">
          <v:rect id="_x0000_i1051" alt="" style="width:468pt;height:.05pt;mso-width-percent:0;mso-height-percent:0;mso-width-percent:0;mso-height-percent:0" o:hralign="center" o:hrstd="t" o:hr="t" fillcolor="#a0a0a0" stroked="f"/>
        </w:pict>
      </w:r>
    </w:p>
    <w:p w14:paraId="4A46B934" w14:textId="2E5A83C7"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 xml:space="preserve"> Performance Metrics</w:t>
      </w:r>
    </w:p>
    <w:p w14:paraId="163BE366"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These Key Performance Indicators (KPIs) are used to assess efficiency, responsiveness, and reliability in the intake process. Metrics are reviewed weekly, monthly, and quarterly by leadership and reported transparently to staff and stakeholders.</w:t>
      </w:r>
    </w:p>
    <w:p w14:paraId="128F7BED" w14:textId="77777777" w:rsidR="00E06D5E" w:rsidRPr="00E06D5E" w:rsidRDefault="00E06D5E" w:rsidP="00E06D5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Intake-to-Admission Average Time</w:t>
      </w:r>
    </w:p>
    <w:p w14:paraId="2591EB98"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Target: &lt; 4 hours from initial referral to patient arrival</w:t>
      </w:r>
    </w:p>
    <w:p w14:paraId="6A07FE68"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Measures responsiveness and internal workflow efficiency</w:t>
      </w:r>
    </w:p>
    <w:p w14:paraId="4FB7D3F7"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Delays often signal staffing shortages, communication breakdowns, or approval bottlenecks</w:t>
      </w:r>
    </w:p>
    <w:p w14:paraId="5A4B920E" w14:textId="77777777" w:rsidR="00E06D5E" w:rsidRPr="00E06D5E" w:rsidRDefault="00E06D5E" w:rsidP="00E06D5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Insurance Verification Success Rate</w:t>
      </w:r>
    </w:p>
    <w:p w14:paraId="202F0F6F"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Target: 98–100% verifications completed within 15 minutes</w:t>
      </w:r>
    </w:p>
    <w:p w14:paraId="486FE1D3"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Reflects revenue protection, compliance with payer expectations, and risk mitigation</w:t>
      </w:r>
    </w:p>
    <w:p w14:paraId="073746F4"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Tracked by business office and included in denial prevention audits</w:t>
      </w:r>
    </w:p>
    <w:p w14:paraId="6EA9B64F" w14:textId="77777777" w:rsidR="00E06D5E" w:rsidRPr="00E06D5E" w:rsidRDefault="00E06D5E" w:rsidP="00E06D5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Number of Delayed or Lost Referrals</w:t>
      </w:r>
    </w:p>
    <w:p w14:paraId="7FC3F353"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Target: &lt; 2% monthly</w:t>
      </w:r>
    </w:p>
    <w:p w14:paraId="1B5AB64F"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Includes any referrals that were not converted due to process failure (e.g., transport miscoordination, incomplete documentation)</w:t>
      </w:r>
    </w:p>
    <w:p w14:paraId="0210B19F"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Losses are reviewed for root cause and recovery strategy</w:t>
      </w:r>
    </w:p>
    <w:p w14:paraId="557AC7B9" w14:textId="77777777" w:rsidR="00E06D5E" w:rsidRPr="00E06D5E" w:rsidRDefault="00E06D5E" w:rsidP="00E06D5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Referral Partner Satisfaction Scores</w:t>
      </w:r>
    </w:p>
    <w:p w14:paraId="624CEF6E"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Target: ≥ 90% satisfaction rate from quarterly or biannual surveys</w:t>
      </w:r>
    </w:p>
    <w:p w14:paraId="3C8A3D08"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Assesses how well referral sources feel heard, informed, and supported</w:t>
      </w:r>
    </w:p>
    <w:p w14:paraId="1E542F3B" w14:textId="77777777" w:rsidR="00E06D5E" w:rsidRPr="00E06D5E" w:rsidRDefault="00E06D5E" w:rsidP="00E06D5E">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Complaints or delays are tracked by Service Development Representatives (SDRs) and brought to quality rounds</w:t>
      </w:r>
    </w:p>
    <w:p w14:paraId="1EA49D50"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717D786">
          <v:rect id="_x0000_i1050" alt="" style="width:468pt;height:.05pt;mso-width-percent:0;mso-height-percent:0;mso-width-percent:0;mso-height-percent:0" o:hralign="center" o:hrstd="t" o:hr="t" fillcolor="#a0a0a0" stroked="f"/>
        </w:pict>
      </w:r>
    </w:p>
    <w:p w14:paraId="51C9338F" w14:textId="77777777" w:rsidR="00E06D5E" w:rsidRDefault="00E06D5E">
      <w:pPr>
        <w:rPr>
          <w:rFonts w:ascii="Apple Color Emoji" w:eastAsia="Times New Roman" w:hAnsi="Apple Color Emoji" w:cs="Apple Color Emoji"/>
          <w:b/>
          <w:bCs/>
          <w:kern w:val="0"/>
          <w14:ligatures w14:val="none"/>
        </w:rPr>
      </w:pPr>
      <w:r>
        <w:rPr>
          <w:rFonts w:ascii="Apple Color Emoji" w:eastAsia="Times New Roman" w:hAnsi="Apple Color Emoji" w:cs="Apple Color Emoji"/>
          <w:b/>
          <w:bCs/>
          <w:kern w:val="0"/>
          <w14:ligatures w14:val="none"/>
        </w:rPr>
        <w:br w:type="page"/>
      </w:r>
    </w:p>
    <w:p w14:paraId="2C33C65A" w14:textId="7B71A4B8"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lastRenderedPageBreak/>
        <w:t>Outcome Incentives</w:t>
      </w:r>
    </w:p>
    <w:p w14:paraId="594D3EB0"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The impact of a strong centralized intake process extends well beyond logistics. The outcomes we care about are rooted in patient safety, continuity of care, and long-term community trust.</w:t>
      </w:r>
    </w:p>
    <w:p w14:paraId="036AD788" w14:textId="77777777" w:rsidR="00E06D5E" w:rsidRPr="00E06D5E" w:rsidRDefault="00E06D5E" w:rsidP="00E06D5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Improved Patient Safety and Satisfaction</w:t>
      </w:r>
    </w:p>
    <w:p w14:paraId="34DB3DF8" w14:textId="77777777" w:rsidR="00E06D5E" w:rsidRPr="00E06D5E" w:rsidRDefault="00E06D5E" w:rsidP="00E06D5E">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When intake is seamless, patients feel safe and respected from their first interaction</w:t>
      </w:r>
    </w:p>
    <w:p w14:paraId="59E52A75" w14:textId="77777777" w:rsidR="00E06D5E" w:rsidRPr="00E06D5E" w:rsidRDefault="00E06D5E" w:rsidP="00E06D5E">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Fewer delays mean lower risk of elopement, crisis escalation, or medical complications</w:t>
      </w:r>
    </w:p>
    <w:p w14:paraId="479AC2C4" w14:textId="77777777" w:rsidR="00E06D5E" w:rsidRPr="00E06D5E" w:rsidRDefault="00E06D5E" w:rsidP="00E06D5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Fewer Unnecessary ER Visits or Inpatient Stays</w:t>
      </w:r>
    </w:p>
    <w:p w14:paraId="172EA123" w14:textId="77777777" w:rsidR="00E06D5E" w:rsidRPr="00E06D5E" w:rsidRDefault="00E06D5E" w:rsidP="00E06D5E">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Accurate screening ensures patients are matched to the correct level of care the first time</w:t>
      </w:r>
    </w:p>
    <w:p w14:paraId="72E87D93" w14:textId="77777777" w:rsidR="00E06D5E" w:rsidRPr="00E06D5E" w:rsidRDefault="00E06D5E" w:rsidP="00E06D5E">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Reduces over-utilization of high-cost settings and shortens length of stay (LOS)</w:t>
      </w:r>
    </w:p>
    <w:p w14:paraId="5C2663A4" w14:textId="77777777" w:rsidR="00E06D5E" w:rsidRPr="00E06D5E" w:rsidRDefault="00E06D5E" w:rsidP="00E06D5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Repeat Business and Stronger Partnerships</w:t>
      </w:r>
    </w:p>
    <w:p w14:paraId="47C9725B" w14:textId="77777777" w:rsidR="00E06D5E" w:rsidRPr="00E06D5E" w:rsidRDefault="00E06D5E" w:rsidP="00E06D5E">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Referral sources return to providers they trust</w:t>
      </w:r>
    </w:p>
    <w:p w14:paraId="1634D67E" w14:textId="77777777" w:rsidR="00E06D5E" w:rsidRPr="00E06D5E" w:rsidRDefault="00E06D5E" w:rsidP="00E06D5E">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Reliable intake processes foster word-of-mouth growth and become preferred referral destinations</w:t>
      </w:r>
    </w:p>
    <w:p w14:paraId="0415538E" w14:textId="77777777" w:rsidR="00E06D5E" w:rsidRPr="00E06D5E" w:rsidRDefault="00E06D5E" w:rsidP="00E06D5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Data-Driven Adjustments for Staffing and Program Mix</w:t>
      </w:r>
    </w:p>
    <w:p w14:paraId="41330F68" w14:textId="77777777" w:rsidR="00E06D5E" w:rsidRPr="00E06D5E" w:rsidRDefault="00E06D5E" w:rsidP="00E06D5E">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Performance trends help leadership adjust schedules, staffing ratios, or program design based on real demand</w:t>
      </w:r>
    </w:p>
    <w:p w14:paraId="5EE2D1AF" w14:textId="77777777" w:rsidR="00E06D5E" w:rsidRPr="00E06D5E" w:rsidRDefault="00E06D5E" w:rsidP="00E06D5E">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Ensures operational flexibility and financial sustainability</w:t>
      </w:r>
    </w:p>
    <w:p w14:paraId="3E931CA9"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8FD89A">
          <v:rect id="_x0000_i1049" alt="" style="width:468pt;height:.05pt;mso-width-percent:0;mso-height-percent:0;mso-width-percent:0;mso-height-percent:0" o:hralign="center" o:hrstd="t" o:hr="t" fillcolor="#a0a0a0" stroked="f"/>
        </w:pict>
      </w:r>
    </w:p>
    <w:p w14:paraId="2CBF636D" w14:textId="5C7B2509"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Team Incentives</w:t>
      </w:r>
    </w:p>
    <w:p w14:paraId="455612E1"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Accountability is important—but so is recognition. Teams are most successful when they know they’re contributing to something meaningful and being seen for their efforts.</w:t>
      </w:r>
    </w:p>
    <w:p w14:paraId="121F2A1E" w14:textId="77777777" w:rsidR="00E06D5E" w:rsidRPr="00E06D5E" w:rsidRDefault="00E06D5E" w:rsidP="00E06D5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Acknowledge Team Contributions</w:t>
      </w:r>
    </w:p>
    <w:p w14:paraId="509F7559" w14:textId="77777777" w:rsidR="00E06D5E" w:rsidRPr="00E06D5E" w:rsidRDefault="00E06D5E" w:rsidP="00E06D5E">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Celebrate monthly wins: fastest referral-to-bed time, highest documentation accuracy, strongest survey comments</w:t>
      </w:r>
    </w:p>
    <w:p w14:paraId="1065B6DE" w14:textId="77777777" w:rsidR="00E06D5E" w:rsidRPr="00E06D5E" w:rsidRDefault="00E06D5E" w:rsidP="00E06D5E">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Use visual boards, internal shout-outs, or “intake champion” spotlights</w:t>
      </w:r>
    </w:p>
    <w:p w14:paraId="29252CD4" w14:textId="77777777" w:rsidR="00E06D5E" w:rsidRPr="00E06D5E" w:rsidRDefault="00E06D5E" w:rsidP="00E06D5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Encourage Shared Wins</w:t>
      </w:r>
    </w:p>
    <w:p w14:paraId="1235941D" w14:textId="77777777" w:rsidR="00E06D5E" w:rsidRPr="00E06D5E" w:rsidRDefault="00E06D5E" w:rsidP="00E06D5E">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Track team-based metrics (e.g., days with zero lost referrals) to reinforce collaboration</w:t>
      </w:r>
    </w:p>
    <w:p w14:paraId="2C7FE0DF" w14:textId="77777777" w:rsidR="00E06D5E" w:rsidRPr="00E06D5E" w:rsidRDefault="00E06D5E" w:rsidP="00E06D5E">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Recognize coordination across departments (intake, business office, nursing)</w:t>
      </w:r>
    </w:p>
    <w:p w14:paraId="40E297AA" w14:textId="77777777" w:rsidR="00E06D5E" w:rsidRPr="00E06D5E" w:rsidRDefault="00E06D5E" w:rsidP="00E06D5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Rotate Leadership of Process Improvement Initiatives</w:t>
      </w:r>
    </w:p>
    <w:p w14:paraId="4FE127A1" w14:textId="77777777" w:rsidR="00E06D5E" w:rsidRPr="00E06D5E" w:rsidRDefault="00E06D5E" w:rsidP="00E06D5E">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Empower intake staff to lead short-term quality projects or policy refresh efforts</w:t>
      </w:r>
    </w:p>
    <w:p w14:paraId="0BBA2149" w14:textId="77777777" w:rsidR="00E06D5E" w:rsidRPr="00E06D5E" w:rsidRDefault="00E06D5E" w:rsidP="00E06D5E">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Builds professional development, ownership, and innovation from within</w:t>
      </w:r>
    </w:p>
    <w:p w14:paraId="7E9BA02B"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1D2F13">
          <v:rect id="_x0000_i1048" alt="" style="width:468pt;height:.05pt;mso-width-percent:0;mso-height-percent:0;mso-width-percent:0;mso-height-percent:0" o:hralign="center" o:hrstd="t" o:hr="t" fillcolor="#a0a0a0" stroked="f"/>
        </w:pict>
      </w:r>
    </w:p>
    <w:p w14:paraId="335C89BB"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By aligning clear metrics with meaningful outcomes and equitable incentives, this section reinforces that </w:t>
      </w:r>
      <w:r w:rsidRPr="00E06D5E">
        <w:rPr>
          <w:rFonts w:ascii="Times New Roman" w:eastAsia="Times New Roman" w:hAnsi="Times New Roman" w:cs="Times New Roman"/>
          <w:b/>
          <w:bCs/>
          <w:kern w:val="0"/>
          <w14:ligatures w14:val="none"/>
        </w:rPr>
        <w:t>quality is everyone’s job—and everyone benefits when we do it well.</w:t>
      </w:r>
    </w:p>
    <w:p w14:paraId="46917AC9" w14:textId="77777777" w:rsidR="002C66EB" w:rsidRPr="002C66EB" w:rsidRDefault="0091137E" w:rsidP="002C6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0094404">
          <v:rect id="_x0000_i1047" alt="" style="width:468pt;height:.05pt;mso-width-percent:0;mso-height-percent:0;mso-width-percent:0;mso-height-percent:0" o:hralign="center" o:hrstd="t" o:hr="t" fillcolor="#a0a0a0" stroked="f"/>
        </w:pict>
      </w:r>
    </w:p>
    <w:p w14:paraId="16B190B6" w14:textId="3C35745D" w:rsidR="00E06D5E" w:rsidRPr="00E06D5E" w:rsidRDefault="00E06D5E" w:rsidP="00E06D5E">
      <w:pPr>
        <w:rPr>
          <w:rFonts w:ascii="Times New Roman" w:eastAsia="Times New Roman" w:hAnsi="Times New Roman" w:cs="Times New Roman"/>
          <w:b/>
          <w:bCs/>
          <w:kern w:val="0"/>
          <w:sz w:val="27"/>
          <w:szCs w:val="27"/>
          <w14:ligatures w14:val="none"/>
        </w:rPr>
      </w:pPr>
      <w:r w:rsidRPr="00E06D5E">
        <w:rPr>
          <w:rFonts w:ascii="Times New Roman" w:eastAsia="Times New Roman" w:hAnsi="Times New Roman" w:cs="Times New Roman"/>
          <w:b/>
          <w:bCs/>
          <w:kern w:val="0"/>
          <w:sz w:val="27"/>
          <w:szCs w:val="27"/>
          <w14:ligatures w14:val="none"/>
        </w:rPr>
        <w:t>SECTION 6: RISK OF NON-COMPLIANCE</w:t>
      </w:r>
    </w:p>
    <w:p w14:paraId="35095FFF"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Centralized intake serves not only as a clinical and operational bridge—but as a regulatory safeguard. Because this function touches legal documentation, medical decision-making, patient safety, and reimbursement, any misstep can have cascading consequences across the organization.</w:t>
      </w:r>
    </w:p>
    <w:p w14:paraId="43B49739"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Below are the five key areas of risk tied to non-compliance, including examples and implications for each.</w:t>
      </w:r>
    </w:p>
    <w:p w14:paraId="43441832" w14:textId="172DF0E9"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268865">
          <v:rect id="_x0000_i1046" alt="" style="width:468pt;height:.05pt;mso-width-percent:0;mso-height-percent:0;mso-width-percent:0;mso-height-percent:0" o:hralign="center" o:hrstd="t" o:hr="t" fillcolor="#a0a0a0" stroked="f"/>
        </w:pict>
      </w:r>
      <w:r w:rsidR="00E06D5E" w:rsidRPr="00E06D5E">
        <w:rPr>
          <w:rFonts w:ascii="Times New Roman" w:eastAsia="Times New Roman" w:hAnsi="Times New Roman" w:cs="Times New Roman"/>
          <w:b/>
          <w:bCs/>
          <w:kern w:val="0"/>
          <w14:ligatures w14:val="none"/>
        </w:rPr>
        <w:t xml:space="preserve"> Area: EMTALA (Emergency Medical Treatment &amp; Labor Act)</w:t>
      </w:r>
    </w:p>
    <w:p w14:paraId="26611720"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Consequence:</w:t>
      </w:r>
    </w:p>
    <w:p w14:paraId="75C0F2C0" w14:textId="77777777" w:rsidR="00E06D5E" w:rsidRPr="00E06D5E" w:rsidRDefault="00E06D5E" w:rsidP="00E06D5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Civil fines of up to </w:t>
      </w:r>
      <w:r w:rsidRPr="00E06D5E">
        <w:rPr>
          <w:rFonts w:ascii="Times New Roman" w:eastAsia="Times New Roman" w:hAnsi="Times New Roman" w:cs="Times New Roman"/>
          <w:b/>
          <w:bCs/>
          <w:kern w:val="0"/>
          <w14:ligatures w14:val="none"/>
        </w:rPr>
        <w:t>$100,000 per violation</w:t>
      </w:r>
    </w:p>
    <w:p w14:paraId="062D9E93" w14:textId="77777777" w:rsidR="00E06D5E" w:rsidRPr="00E06D5E" w:rsidRDefault="00E06D5E" w:rsidP="00E06D5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Loss of Medicare/Medicaid funding</w:t>
      </w:r>
    </w:p>
    <w:p w14:paraId="1F291365" w14:textId="77777777" w:rsidR="00E06D5E" w:rsidRPr="00E06D5E" w:rsidRDefault="00E06D5E" w:rsidP="00E06D5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Referral to the </w:t>
      </w:r>
      <w:r w:rsidRPr="00E06D5E">
        <w:rPr>
          <w:rFonts w:ascii="Times New Roman" w:eastAsia="Times New Roman" w:hAnsi="Times New Roman" w:cs="Times New Roman"/>
          <w:b/>
          <w:bCs/>
          <w:kern w:val="0"/>
          <w14:ligatures w14:val="none"/>
        </w:rPr>
        <w:t>Office of Inspector General (OIG)</w:t>
      </w:r>
    </w:p>
    <w:p w14:paraId="05D9C0B1" w14:textId="77777777" w:rsidR="00E06D5E" w:rsidRPr="00E06D5E" w:rsidRDefault="00E06D5E" w:rsidP="00E06D5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Legal action from patients and their families</w:t>
      </w:r>
    </w:p>
    <w:p w14:paraId="0DC20638"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Explanation:</w:t>
      </w:r>
      <w:r w:rsidRPr="00E06D5E">
        <w:rPr>
          <w:rFonts w:ascii="Times New Roman" w:eastAsia="Times New Roman" w:hAnsi="Times New Roman" w:cs="Times New Roman"/>
          <w:kern w:val="0"/>
          <w14:ligatures w14:val="none"/>
        </w:rPr>
        <w:br/>
        <w:t>Hospitals must provide an appropriate medical screening exam to anyone presenting for emergency psychiatric care, regardless of ability to pay. Delays in assessment, turning away walk-ins, or failing to arrange appropriate transfers violate EMTALA and place the organization at legal and financial risk.</w:t>
      </w:r>
    </w:p>
    <w:p w14:paraId="6775437F"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Examples of Violation:</w:t>
      </w:r>
    </w:p>
    <w:p w14:paraId="18AB3EF9" w14:textId="77777777" w:rsidR="00E06D5E" w:rsidRPr="00E06D5E" w:rsidRDefault="00E06D5E" w:rsidP="00E06D5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Not screening a walk-in psychiatric patient because no intake nurse was available</w:t>
      </w:r>
    </w:p>
    <w:p w14:paraId="7C9B9625" w14:textId="77777777" w:rsidR="00E06D5E" w:rsidRPr="00E06D5E" w:rsidRDefault="00E06D5E" w:rsidP="00E06D5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Declining to admit or refer a suicidal patient due to insurance issues</w:t>
      </w:r>
    </w:p>
    <w:p w14:paraId="77DBF26A" w14:textId="77777777" w:rsidR="00E06D5E" w:rsidRPr="00E06D5E" w:rsidRDefault="00E06D5E" w:rsidP="00E06D5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Transferring a patient without a formal handoff or receiving physician</w:t>
      </w:r>
    </w:p>
    <w:p w14:paraId="4BEFB8C7"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348241">
          <v:rect id="_x0000_i1045" alt="" style="width:468pt;height:.05pt;mso-width-percent:0;mso-height-percent:0;mso-width-percent:0;mso-height-percent:0" o:hralign="center" o:hrstd="t" o:hr="t" fillcolor="#a0a0a0" stroked="f"/>
        </w:pict>
      </w:r>
    </w:p>
    <w:p w14:paraId="41951E0F" w14:textId="77777777" w:rsidR="00E06D5E" w:rsidRDefault="00E06D5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46909644" w14:textId="652117A6"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lastRenderedPageBreak/>
        <w:t>Area: Medicaid/Medicare Compliance</w:t>
      </w:r>
    </w:p>
    <w:p w14:paraId="33E17EBA"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Consequence:</w:t>
      </w:r>
    </w:p>
    <w:p w14:paraId="6CC77F1B" w14:textId="77777777" w:rsidR="00E06D5E" w:rsidRPr="00E06D5E" w:rsidRDefault="00E06D5E" w:rsidP="00E06D5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Claim denials</w:t>
      </w:r>
      <w:r w:rsidRPr="00E06D5E">
        <w:rPr>
          <w:rFonts w:ascii="Times New Roman" w:eastAsia="Times New Roman" w:hAnsi="Times New Roman" w:cs="Times New Roman"/>
          <w:kern w:val="0"/>
          <w14:ligatures w14:val="none"/>
        </w:rPr>
        <w:t xml:space="preserve"> and </w:t>
      </w:r>
      <w:r w:rsidRPr="00E06D5E">
        <w:rPr>
          <w:rFonts w:ascii="Times New Roman" w:eastAsia="Times New Roman" w:hAnsi="Times New Roman" w:cs="Times New Roman"/>
          <w:b/>
          <w:bCs/>
          <w:kern w:val="0"/>
          <w14:ligatures w14:val="none"/>
        </w:rPr>
        <w:t>recoupments</w:t>
      </w:r>
      <w:r w:rsidRPr="00E06D5E">
        <w:rPr>
          <w:rFonts w:ascii="Times New Roman" w:eastAsia="Times New Roman" w:hAnsi="Times New Roman" w:cs="Times New Roman"/>
          <w:kern w:val="0"/>
          <w14:ligatures w14:val="none"/>
        </w:rPr>
        <w:t xml:space="preserve"> for unauthorized or medically unnecessary admissions</w:t>
      </w:r>
    </w:p>
    <w:p w14:paraId="3C643156" w14:textId="77777777" w:rsidR="00E06D5E" w:rsidRPr="00E06D5E" w:rsidRDefault="00E06D5E" w:rsidP="00E06D5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Triggers for </w:t>
      </w:r>
      <w:r w:rsidRPr="00E06D5E">
        <w:rPr>
          <w:rFonts w:ascii="Times New Roman" w:eastAsia="Times New Roman" w:hAnsi="Times New Roman" w:cs="Times New Roman"/>
          <w:b/>
          <w:bCs/>
          <w:kern w:val="0"/>
          <w14:ligatures w14:val="none"/>
        </w:rPr>
        <w:t>fraud, waste, and abuse audits</w:t>
      </w:r>
    </w:p>
    <w:p w14:paraId="6AC573C0" w14:textId="77777777" w:rsidR="00E06D5E" w:rsidRPr="00E06D5E" w:rsidRDefault="00E06D5E" w:rsidP="00E06D5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Financial penalties or </w:t>
      </w:r>
      <w:r w:rsidRPr="00E06D5E">
        <w:rPr>
          <w:rFonts w:ascii="Times New Roman" w:eastAsia="Times New Roman" w:hAnsi="Times New Roman" w:cs="Times New Roman"/>
          <w:b/>
          <w:bCs/>
          <w:kern w:val="0"/>
          <w14:ligatures w14:val="none"/>
        </w:rPr>
        <w:t>exclusion from payer networks</w:t>
      </w:r>
    </w:p>
    <w:p w14:paraId="33F67FD7"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Explanation:</w:t>
      </w:r>
      <w:r w:rsidRPr="00E06D5E">
        <w:rPr>
          <w:rFonts w:ascii="Times New Roman" w:eastAsia="Times New Roman" w:hAnsi="Times New Roman" w:cs="Times New Roman"/>
          <w:kern w:val="0"/>
          <w14:ligatures w14:val="none"/>
        </w:rPr>
        <w:br/>
        <w:t>Government payers require that all services are medically necessary and that benefits are verified prior to service delivery. Failure to document screening criteria, legal status, or clinical justification can result in retroactive denials and payer sanctions.</w:t>
      </w:r>
    </w:p>
    <w:p w14:paraId="129334F3"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Examples of Violation:</w:t>
      </w:r>
    </w:p>
    <w:p w14:paraId="3462F996" w14:textId="77777777" w:rsidR="00E06D5E" w:rsidRPr="00E06D5E" w:rsidRDefault="00E06D5E" w:rsidP="00E06D5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Admitting a patient under Medicaid without confirming managed care eligibility</w:t>
      </w:r>
    </w:p>
    <w:p w14:paraId="540DC8E1" w14:textId="77777777" w:rsidR="00E06D5E" w:rsidRPr="00E06D5E" w:rsidRDefault="00E06D5E" w:rsidP="00E06D5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Lack of documentation for risk assessment in chart, leading to denial of inpatient stay</w:t>
      </w:r>
    </w:p>
    <w:p w14:paraId="2FE05454" w14:textId="77777777" w:rsidR="00E06D5E" w:rsidRPr="00E06D5E" w:rsidRDefault="00E06D5E" w:rsidP="00E06D5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Failing to obtain prior authorization from Medicare Advantage plan</w:t>
      </w:r>
    </w:p>
    <w:p w14:paraId="4C0FE645"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290D6A">
          <v:rect id="_x0000_i1044" alt="" style="width:468pt;height:.05pt;mso-width-percent:0;mso-height-percent:0;mso-width-percent:0;mso-height-percent:0" o:hralign="center" o:hrstd="t" o:hr="t" fillcolor="#a0a0a0" stroked="f"/>
        </w:pict>
      </w:r>
    </w:p>
    <w:p w14:paraId="1901B10C" w14:textId="4B307084"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Area: Documentation</w:t>
      </w:r>
    </w:p>
    <w:p w14:paraId="70F1D3E0"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Consequence:</w:t>
      </w:r>
    </w:p>
    <w:p w14:paraId="085A3343" w14:textId="77777777" w:rsidR="00E06D5E" w:rsidRPr="00E06D5E" w:rsidRDefault="00E06D5E" w:rsidP="00E06D5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Lost revenue</w:t>
      </w:r>
      <w:r w:rsidRPr="00E06D5E">
        <w:rPr>
          <w:rFonts w:ascii="Times New Roman" w:eastAsia="Times New Roman" w:hAnsi="Times New Roman" w:cs="Times New Roman"/>
          <w:kern w:val="0"/>
          <w14:ligatures w14:val="none"/>
        </w:rPr>
        <w:t xml:space="preserve"> due to billing rejections</w:t>
      </w:r>
    </w:p>
    <w:p w14:paraId="076D40A0" w14:textId="77777777" w:rsidR="00E06D5E" w:rsidRPr="00E06D5E" w:rsidRDefault="00E06D5E" w:rsidP="00E06D5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Increased liability</w:t>
      </w:r>
      <w:r w:rsidRPr="00E06D5E">
        <w:rPr>
          <w:rFonts w:ascii="Times New Roman" w:eastAsia="Times New Roman" w:hAnsi="Times New Roman" w:cs="Times New Roman"/>
          <w:kern w:val="0"/>
          <w14:ligatures w14:val="none"/>
        </w:rPr>
        <w:t xml:space="preserve"> in malpractice claims</w:t>
      </w:r>
    </w:p>
    <w:p w14:paraId="0554DED8" w14:textId="77777777" w:rsidR="00E06D5E" w:rsidRPr="00E06D5E" w:rsidRDefault="00E06D5E" w:rsidP="00E06D5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Audit failures and compliance citations</w:t>
      </w:r>
    </w:p>
    <w:p w14:paraId="23F5B819"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Explanation:</w:t>
      </w:r>
      <w:r w:rsidRPr="00E06D5E">
        <w:rPr>
          <w:rFonts w:ascii="Times New Roman" w:eastAsia="Times New Roman" w:hAnsi="Times New Roman" w:cs="Times New Roman"/>
          <w:kern w:val="0"/>
          <w14:ligatures w14:val="none"/>
        </w:rPr>
        <w:br/>
        <w:t>If it’s not documented, it didn’t happen. Incomplete, delayed, or inconsistent documentation—especially during intake—can undermine the legal and clinical foundation of care.</w:t>
      </w:r>
    </w:p>
    <w:p w14:paraId="24A45054"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Examples of Violation:</w:t>
      </w:r>
    </w:p>
    <w:p w14:paraId="4EAA77AA" w14:textId="77777777" w:rsidR="00E06D5E" w:rsidRPr="00E06D5E" w:rsidRDefault="00E06D5E" w:rsidP="00E06D5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Missing signed ROI or treatment consent in patient chart</w:t>
      </w:r>
    </w:p>
    <w:p w14:paraId="7CBD83BB" w14:textId="77777777" w:rsidR="00E06D5E" w:rsidRPr="00E06D5E" w:rsidRDefault="00E06D5E" w:rsidP="00E06D5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Inaccurate or absent inquiry forms at time of referral</w:t>
      </w:r>
    </w:p>
    <w:p w14:paraId="0D738802" w14:textId="77777777" w:rsidR="00E06D5E" w:rsidRPr="00E06D5E" w:rsidRDefault="00E06D5E" w:rsidP="00E06D5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Failing to document patient’s presenting symptoms or acuity level</w:t>
      </w:r>
    </w:p>
    <w:p w14:paraId="24357DEF"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0BA7A0">
          <v:rect id="_x0000_i1043" alt="" style="width:468pt;height:.05pt;mso-width-percent:0;mso-height-percent:0;mso-width-percent:0;mso-height-percent:0" o:hralign="center" o:hrstd="t" o:hr="t" fillcolor="#a0a0a0" stroked="f"/>
        </w:pict>
      </w:r>
    </w:p>
    <w:p w14:paraId="26D4B0EA" w14:textId="77777777" w:rsidR="00E06D5E" w:rsidRDefault="00E06D5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332CFF0F" w14:textId="10AF0EBA"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lastRenderedPageBreak/>
        <w:t>Area: Patient Misdirection</w:t>
      </w:r>
    </w:p>
    <w:p w14:paraId="6041B5FE"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Consequence:</w:t>
      </w:r>
    </w:p>
    <w:p w14:paraId="53EFBF6B" w14:textId="77777777" w:rsidR="00E06D5E" w:rsidRPr="00E06D5E" w:rsidRDefault="00E06D5E" w:rsidP="00E06D5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Litigation from patients/families</w:t>
      </w:r>
    </w:p>
    <w:p w14:paraId="2F8F4629" w14:textId="77777777" w:rsidR="00E06D5E" w:rsidRPr="00E06D5E" w:rsidRDefault="00E06D5E" w:rsidP="00E06D5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Delayed care</w:t>
      </w:r>
      <w:r w:rsidRPr="00E06D5E">
        <w:rPr>
          <w:rFonts w:ascii="Times New Roman" w:eastAsia="Times New Roman" w:hAnsi="Times New Roman" w:cs="Times New Roman"/>
          <w:kern w:val="0"/>
          <w14:ligatures w14:val="none"/>
        </w:rPr>
        <w:t xml:space="preserve"> or harm due to misplacement</w:t>
      </w:r>
    </w:p>
    <w:p w14:paraId="26836804" w14:textId="77777777" w:rsidR="00E06D5E" w:rsidRPr="00E06D5E" w:rsidRDefault="00E06D5E" w:rsidP="00E06D5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Loss of trust</w:t>
      </w:r>
      <w:r w:rsidRPr="00E06D5E">
        <w:rPr>
          <w:rFonts w:ascii="Times New Roman" w:eastAsia="Times New Roman" w:hAnsi="Times New Roman" w:cs="Times New Roman"/>
          <w:kern w:val="0"/>
          <w14:ligatures w14:val="none"/>
        </w:rPr>
        <w:t xml:space="preserve"> from referral sources and community stakeholders</w:t>
      </w:r>
    </w:p>
    <w:p w14:paraId="1A3A221E" w14:textId="77777777" w:rsidR="00E06D5E" w:rsidRPr="00E06D5E" w:rsidRDefault="00E06D5E" w:rsidP="00E06D5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Damage to </w:t>
      </w:r>
      <w:r w:rsidRPr="00E06D5E">
        <w:rPr>
          <w:rFonts w:ascii="Times New Roman" w:eastAsia="Times New Roman" w:hAnsi="Times New Roman" w:cs="Times New Roman"/>
          <w:b/>
          <w:bCs/>
          <w:kern w:val="0"/>
          <w14:ligatures w14:val="none"/>
        </w:rPr>
        <w:t>organizational reputation</w:t>
      </w:r>
    </w:p>
    <w:p w14:paraId="433BA95F"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Explanation:</w:t>
      </w:r>
      <w:r w:rsidRPr="00E06D5E">
        <w:rPr>
          <w:rFonts w:ascii="Times New Roman" w:eastAsia="Times New Roman" w:hAnsi="Times New Roman" w:cs="Times New Roman"/>
          <w:kern w:val="0"/>
          <w14:ligatures w14:val="none"/>
        </w:rPr>
        <w:br/>
        <w:t>When a patient is placed in an inappropriate program due to preference, bed pressure, or incomplete assessment, it risks worsening their condition, violates ethical standards, and can lead to crisis or incident.</w:t>
      </w:r>
    </w:p>
    <w:p w14:paraId="62DD7E7F"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Examples of Violation:</w:t>
      </w:r>
    </w:p>
    <w:p w14:paraId="664AB7EF" w14:textId="77777777" w:rsidR="00E06D5E" w:rsidRPr="00E06D5E" w:rsidRDefault="00E06D5E" w:rsidP="00E06D5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Admitting a psychotic patient to IOP due to inpatient bed shortage</w:t>
      </w:r>
    </w:p>
    <w:p w14:paraId="5B7F37F2" w14:textId="77777777" w:rsidR="00E06D5E" w:rsidRPr="00E06D5E" w:rsidRDefault="00E06D5E" w:rsidP="00E06D5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Overriding screening recommendations to honor family’s request</w:t>
      </w:r>
    </w:p>
    <w:p w14:paraId="3A921CE0" w14:textId="77777777" w:rsidR="00E06D5E" w:rsidRPr="00E06D5E" w:rsidRDefault="00E06D5E" w:rsidP="00E06D5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Not offering appropriate alternatives when denying preferred placement</w:t>
      </w:r>
    </w:p>
    <w:p w14:paraId="126A8EAD"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083D8D">
          <v:rect id="_x0000_i1042" alt="" style="width:468pt;height:.05pt;mso-width-percent:0;mso-height-percent:0;mso-width-percent:0;mso-height-percent:0" o:hralign="center" o:hrstd="t" o:hr="t" fillcolor="#a0a0a0" stroked="f"/>
        </w:pict>
      </w:r>
    </w:p>
    <w:p w14:paraId="1CF03966" w14:textId="2BEEE4AC"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Area: Improper Authorization</w:t>
      </w:r>
    </w:p>
    <w:p w14:paraId="46D6BA86"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Consequence:</w:t>
      </w:r>
    </w:p>
    <w:p w14:paraId="36BE708F" w14:textId="77777777" w:rsidR="00E06D5E" w:rsidRPr="00E06D5E" w:rsidRDefault="00E06D5E" w:rsidP="00E06D5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Payer contract terminations</w:t>
      </w:r>
    </w:p>
    <w:p w14:paraId="42F0FB89" w14:textId="77777777" w:rsidR="00E06D5E" w:rsidRPr="00E06D5E" w:rsidRDefault="00E06D5E" w:rsidP="00E06D5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Financial loss</w:t>
      </w:r>
      <w:r w:rsidRPr="00E06D5E">
        <w:rPr>
          <w:rFonts w:ascii="Times New Roman" w:eastAsia="Times New Roman" w:hAnsi="Times New Roman" w:cs="Times New Roman"/>
          <w:kern w:val="0"/>
          <w14:ligatures w14:val="none"/>
        </w:rPr>
        <w:t xml:space="preserve"> from denied days of care</w:t>
      </w:r>
    </w:p>
    <w:p w14:paraId="31EE8B97" w14:textId="77777777" w:rsidR="00E06D5E" w:rsidRPr="00E06D5E" w:rsidRDefault="00E06D5E" w:rsidP="00E06D5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Legal exposure</w:t>
      </w:r>
      <w:r w:rsidRPr="00E06D5E">
        <w:rPr>
          <w:rFonts w:ascii="Times New Roman" w:eastAsia="Times New Roman" w:hAnsi="Times New Roman" w:cs="Times New Roman"/>
          <w:kern w:val="0"/>
          <w14:ligatures w14:val="none"/>
        </w:rPr>
        <w:t xml:space="preserve"> for false claims or misrepresentation</w:t>
      </w:r>
    </w:p>
    <w:p w14:paraId="276DEB03"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Explanation:</w:t>
      </w:r>
      <w:r w:rsidRPr="00E06D5E">
        <w:rPr>
          <w:rFonts w:ascii="Times New Roman" w:eastAsia="Times New Roman" w:hAnsi="Times New Roman" w:cs="Times New Roman"/>
          <w:kern w:val="0"/>
          <w14:ligatures w14:val="none"/>
        </w:rPr>
        <w:br/>
        <w:t>Payers require documented proof of eligibility, pre-certification, and medical necessity before approving reimbursement. Failing to adhere to these steps—or backdating them—violates payer contracts and can be interpreted as fraud.</w:t>
      </w:r>
    </w:p>
    <w:p w14:paraId="3EDD8CAF"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Examples of Violation:</w:t>
      </w:r>
    </w:p>
    <w:p w14:paraId="546AF110" w14:textId="77777777" w:rsidR="00E06D5E" w:rsidRPr="00E06D5E" w:rsidRDefault="00E06D5E" w:rsidP="00E06D5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Admitting without authorization and attempting to “retro-authorize”</w:t>
      </w:r>
    </w:p>
    <w:p w14:paraId="25AEC456" w14:textId="77777777" w:rsidR="00E06D5E" w:rsidRPr="00E06D5E" w:rsidRDefault="00E06D5E" w:rsidP="00E06D5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Billing for inpatient services under an unverified insurance plan</w:t>
      </w:r>
    </w:p>
    <w:p w14:paraId="3CAEE2B2" w14:textId="77777777" w:rsidR="00E06D5E" w:rsidRPr="00E06D5E" w:rsidRDefault="00E06D5E" w:rsidP="00E06D5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Misclassifying level of care to fit coverage rather than patient need</w:t>
      </w:r>
    </w:p>
    <w:p w14:paraId="1C3B9D22"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DB229F">
          <v:rect id="_x0000_i1041" alt="" style="width:468pt;height:.05pt;mso-width-percent:0;mso-height-percent:0;mso-width-percent:0;mso-height-percent:0" o:hralign="center" o:hrstd="t" o:hr="t" fillcolor="#a0a0a0" stroked="f"/>
        </w:pict>
      </w:r>
    </w:p>
    <w:p w14:paraId="6A7091D0" w14:textId="77777777" w:rsidR="00E06D5E" w:rsidRDefault="00E06D5E">
      <w:pPr>
        <w:rPr>
          <w:rFonts w:ascii="Apple Color Emoji" w:eastAsia="Times New Roman" w:hAnsi="Apple Color Emoji" w:cs="Apple Color Emoji"/>
          <w:b/>
          <w:bCs/>
          <w:kern w:val="0"/>
          <w:sz w:val="27"/>
          <w:szCs w:val="27"/>
          <w14:ligatures w14:val="none"/>
        </w:rPr>
      </w:pPr>
      <w:r>
        <w:rPr>
          <w:rFonts w:ascii="Apple Color Emoji" w:eastAsia="Times New Roman" w:hAnsi="Apple Color Emoji" w:cs="Apple Color Emoji"/>
          <w:b/>
          <w:bCs/>
          <w:kern w:val="0"/>
          <w:sz w:val="27"/>
          <w:szCs w:val="27"/>
          <w14:ligatures w14:val="none"/>
        </w:rPr>
        <w:br w:type="page"/>
      </w:r>
    </w:p>
    <w:p w14:paraId="3607EC5B" w14:textId="7B96CE1F" w:rsidR="00E06D5E" w:rsidRPr="00E06D5E" w:rsidRDefault="00E06D5E" w:rsidP="00E06D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6D5E">
        <w:rPr>
          <w:rFonts w:ascii="Times New Roman" w:eastAsia="Times New Roman" w:hAnsi="Times New Roman" w:cs="Times New Roman"/>
          <w:b/>
          <w:bCs/>
          <w:kern w:val="0"/>
          <w:sz w:val="27"/>
          <w:szCs w:val="27"/>
          <w14:ligatures w14:val="none"/>
        </w:rPr>
        <w:lastRenderedPageBreak/>
        <w:t xml:space="preserve"> Final Reminder:</w:t>
      </w:r>
    </w:p>
    <w:p w14:paraId="69033214"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Each of these risks is avoidable—with the right systems, training, and accountability in place. Following the centralized intake SOP is not just about efficiency—it’s about </w:t>
      </w:r>
      <w:r w:rsidRPr="00E06D5E">
        <w:rPr>
          <w:rFonts w:ascii="Times New Roman" w:eastAsia="Times New Roman" w:hAnsi="Times New Roman" w:cs="Times New Roman"/>
          <w:b/>
          <w:bCs/>
          <w:kern w:val="0"/>
          <w14:ligatures w14:val="none"/>
        </w:rPr>
        <w:t>protecting lives, licenses, and livelihoods</w:t>
      </w:r>
      <w:r w:rsidRPr="00E06D5E">
        <w:rPr>
          <w:rFonts w:ascii="Times New Roman" w:eastAsia="Times New Roman" w:hAnsi="Times New Roman" w:cs="Times New Roman"/>
          <w:kern w:val="0"/>
          <w14:ligatures w14:val="none"/>
        </w:rPr>
        <w:t>.</w:t>
      </w:r>
    </w:p>
    <w:p w14:paraId="3B9BB410" w14:textId="77777777" w:rsidR="002C66EB" w:rsidRDefault="002C66EB">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6CB12F7E" w14:textId="77777777" w:rsidR="00E06D5E" w:rsidRPr="00E06D5E" w:rsidRDefault="00E06D5E" w:rsidP="00E06D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6D5E">
        <w:rPr>
          <w:rFonts w:ascii="Times New Roman" w:eastAsia="Times New Roman" w:hAnsi="Times New Roman" w:cs="Times New Roman"/>
          <w:b/>
          <w:bCs/>
          <w:kern w:val="0"/>
          <w:sz w:val="27"/>
          <w:szCs w:val="27"/>
          <w14:ligatures w14:val="none"/>
        </w:rPr>
        <w:lastRenderedPageBreak/>
        <w:t>SECTION 7: CONTINUOUS IMPROVEMENT</w:t>
      </w:r>
    </w:p>
    <w:p w14:paraId="6477D474"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 high-performing centralized intake system is never static. Excellence in behavioral health access requires continuous feedback, data-driven learning, and operational discipline. This section outlines the mechanisms that ensure the system evolves—based on outcomes, insights, and stakeholder experience.</w:t>
      </w:r>
    </w:p>
    <w:p w14:paraId="7D09D27B" w14:textId="6931A2BA"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FC7C4D">
          <v:rect id="_x0000_i1040" alt="" style="width:468pt;height:.05pt;mso-width-percent:0;mso-height-percent:0;mso-width-percent:0;mso-height-percent:0" o:hralign="center" o:hrstd="t" o:hr="t" fillcolor="#a0a0a0" stroked="f"/>
        </w:pict>
      </w:r>
      <w:r w:rsidR="00E06D5E" w:rsidRPr="00E06D5E">
        <w:rPr>
          <w:rFonts w:ascii="Times New Roman" w:eastAsia="Times New Roman" w:hAnsi="Times New Roman" w:cs="Times New Roman"/>
          <w:b/>
          <w:bCs/>
          <w:kern w:val="0"/>
          <w14:ligatures w14:val="none"/>
        </w:rPr>
        <w:t xml:space="preserve"> Monthly Training Modules on Intake Protocols</w:t>
      </w:r>
    </w:p>
    <w:p w14:paraId="7CDCC65F"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What to Do:</w:t>
      </w:r>
    </w:p>
    <w:p w14:paraId="3CB316EF" w14:textId="77777777" w:rsidR="00E06D5E" w:rsidRPr="00E06D5E" w:rsidRDefault="00E06D5E" w:rsidP="00E06D5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Deliver monthly team-based training sessions focused on:</w:t>
      </w:r>
    </w:p>
    <w:p w14:paraId="3D83A25F" w14:textId="77777777" w:rsidR="00E06D5E" w:rsidRPr="00E06D5E" w:rsidRDefault="00E06D5E" w:rsidP="00E06D5E">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Clinical screening standards (e.g., SI/HI risk, diagnostic criteria)</w:t>
      </w:r>
    </w:p>
    <w:p w14:paraId="7DF8DE4A" w14:textId="77777777" w:rsidR="00E06D5E" w:rsidRPr="00E06D5E" w:rsidRDefault="00E06D5E" w:rsidP="00E06D5E">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Documentation updates and legal requirements</w:t>
      </w:r>
    </w:p>
    <w:p w14:paraId="4F74BD89" w14:textId="77777777" w:rsidR="00E06D5E" w:rsidRPr="00E06D5E" w:rsidRDefault="00E06D5E" w:rsidP="00E06D5E">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Insurance verification best practices</w:t>
      </w:r>
    </w:p>
    <w:p w14:paraId="4C9805F6" w14:textId="77777777" w:rsidR="00E06D5E" w:rsidRPr="00E06D5E" w:rsidRDefault="00E06D5E" w:rsidP="00E06D5E">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Communication workflows and escalation protocols</w:t>
      </w:r>
    </w:p>
    <w:p w14:paraId="7F299C5C" w14:textId="77777777" w:rsidR="00E06D5E" w:rsidRPr="00E06D5E" w:rsidRDefault="00E06D5E" w:rsidP="00E06D5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Incorporate real case reviews, role-plays, and updated regulations (e.g., EMTALA, Title 28)</w:t>
      </w:r>
    </w:p>
    <w:p w14:paraId="7A606822" w14:textId="77777777" w:rsidR="00E06D5E" w:rsidRPr="00E06D5E" w:rsidRDefault="00E06D5E" w:rsidP="00E06D5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Use a mix of formats: in-person huddles, virtual modules, and competency quizzes</w:t>
      </w:r>
    </w:p>
    <w:p w14:paraId="5F87E426"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Why It Matters:</w:t>
      </w:r>
    </w:p>
    <w:p w14:paraId="7B48731F" w14:textId="77777777" w:rsidR="00E06D5E" w:rsidRPr="00E06D5E" w:rsidRDefault="00E06D5E" w:rsidP="00E06D5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Ongoing training ensures consistency across staff and shifts</w:t>
      </w:r>
    </w:p>
    <w:p w14:paraId="25756CFE" w14:textId="77777777" w:rsidR="00E06D5E" w:rsidRPr="00E06D5E" w:rsidRDefault="00E06D5E" w:rsidP="00E06D5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Reinforces a culture of compliance and clinical excellence</w:t>
      </w:r>
    </w:p>
    <w:p w14:paraId="24E30200" w14:textId="77777777" w:rsidR="00E06D5E" w:rsidRPr="00E06D5E" w:rsidRDefault="00E06D5E" w:rsidP="00E06D5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Keeps all team members current on internal policy changes and payer expectations</w:t>
      </w:r>
    </w:p>
    <w:p w14:paraId="33D0768B"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6D7E6D">
          <v:rect id="_x0000_i1039" alt="" style="width:468pt;height:.05pt;mso-width-percent:0;mso-height-percent:0;mso-width-percent:0;mso-height-percent:0" o:hralign="center" o:hrstd="t" o:hr="t" fillcolor="#a0a0a0" stroked="f"/>
        </w:pict>
      </w:r>
    </w:p>
    <w:p w14:paraId="60D8020B" w14:textId="77777777" w:rsidR="00520678" w:rsidRDefault="00520678">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5F608358" w14:textId="3881A65D"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lastRenderedPageBreak/>
        <w:t>Quarterly Referral Partner Meetings for Feedback</w:t>
      </w:r>
    </w:p>
    <w:p w14:paraId="149BA070"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What to Do:</w:t>
      </w:r>
    </w:p>
    <w:p w14:paraId="31669785" w14:textId="77777777" w:rsidR="00E06D5E" w:rsidRPr="00E06D5E" w:rsidRDefault="00E06D5E" w:rsidP="00E06D5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Host virtual or in-person roundtables with top referral sources every quarter</w:t>
      </w:r>
    </w:p>
    <w:p w14:paraId="47CF90F3" w14:textId="77777777" w:rsidR="00E06D5E" w:rsidRPr="00E06D5E" w:rsidRDefault="00E06D5E" w:rsidP="00E06D5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Provide a safe space for referrers to share experiences, praise, or concerns</w:t>
      </w:r>
    </w:p>
    <w:p w14:paraId="00F886A2" w14:textId="77777777" w:rsidR="00E06D5E" w:rsidRPr="00E06D5E" w:rsidRDefault="00E06D5E" w:rsidP="00E06D5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Review key metrics: referral-to-admission time, case status updates, communication quality</w:t>
      </w:r>
    </w:p>
    <w:p w14:paraId="5951ABD9" w14:textId="77777777" w:rsidR="00E06D5E" w:rsidRPr="00E06D5E" w:rsidRDefault="00E06D5E" w:rsidP="00E06D5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Offer program updates and invite feedback on new service lines or processes</w:t>
      </w:r>
    </w:p>
    <w:p w14:paraId="2D3A8A1D"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Why It Matters:</w:t>
      </w:r>
    </w:p>
    <w:p w14:paraId="39D13727" w14:textId="77777777" w:rsidR="00E06D5E" w:rsidRPr="00E06D5E" w:rsidRDefault="00E06D5E" w:rsidP="00E06D5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Builds lasting trust with community partners</w:t>
      </w:r>
    </w:p>
    <w:p w14:paraId="2A3DAAFC" w14:textId="77777777" w:rsidR="00E06D5E" w:rsidRPr="00E06D5E" w:rsidRDefault="00E06D5E" w:rsidP="00E06D5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Identifies breakdowns that staff may not be aware of</w:t>
      </w:r>
    </w:p>
    <w:p w14:paraId="1AD55AE5" w14:textId="77777777" w:rsidR="00E06D5E" w:rsidRPr="00E06D5E" w:rsidRDefault="00E06D5E" w:rsidP="00E06D5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Converts constructive criticism into system enhancements</w:t>
      </w:r>
    </w:p>
    <w:p w14:paraId="060CB266" w14:textId="77777777" w:rsidR="00E06D5E" w:rsidRPr="00E06D5E" w:rsidRDefault="00E06D5E" w:rsidP="00E06D5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Ensures your facility remains a referral destination of choice</w:t>
      </w:r>
    </w:p>
    <w:p w14:paraId="0B93A45F" w14:textId="55988E7E"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0BDF5C1">
          <v:rect id="_x0000_i1038" alt="" style="width:468pt;height:.05pt;mso-width-percent:0;mso-height-percent:0;mso-width-percent:0;mso-height-percent:0" o:hralign="center" o:hrstd="t" o:hr="t" fillcolor="#a0a0a0" stroked="f"/>
        </w:pict>
      </w:r>
      <w:r w:rsidR="00E06D5E" w:rsidRPr="00E06D5E">
        <w:rPr>
          <w:rFonts w:ascii="Times New Roman" w:eastAsia="Times New Roman" w:hAnsi="Times New Roman" w:cs="Times New Roman"/>
          <w:b/>
          <w:bCs/>
          <w:kern w:val="0"/>
          <w14:ligatures w14:val="none"/>
        </w:rPr>
        <w:t xml:space="preserve"> Audit 5–10 Random Cases per Month for Compliance</w:t>
      </w:r>
    </w:p>
    <w:p w14:paraId="3A158962"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What to Do:</w:t>
      </w:r>
    </w:p>
    <w:p w14:paraId="67444945" w14:textId="77777777" w:rsidR="00E06D5E" w:rsidRPr="00E06D5E" w:rsidRDefault="00E06D5E" w:rsidP="00E06D5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Select a random sample of completed referrals monthly (inpatient, IOP, or diversion)</w:t>
      </w:r>
    </w:p>
    <w:p w14:paraId="41BBBFA5" w14:textId="77777777" w:rsidR="00E06D5E" w:rsidRPr="00E06D5E" w:rsidRDefault="00E06D5E" w:rsidP="00E06D5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Use a standardized intake compliance checklist to review:</w:t>
      </w:r>
    </w:p>
    <w:p w14:paraId="5AB40624" w14:textId="77777777" w:rsidR="00E06D5E" w:rsidRPr="00E06D5E" w:rsidRDefault="00E06D5E" w:rsidP="00E06D5E">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Inquiry form completion</w:t>
      </w:r>
    </w:p>
    <w:p w14:paraId="475C6DD1" w14:textId="77777777" w:rsidR="00E06D5E" w:rsidRPr="00E06D5E" w:rsidRDefault="00E06D5E" w:rsidP="00E06D5E">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Legal and insurance documentation</w:t>
      </w:r>
    </w:p>
    <w:p w14:paraId="3FEDC37E" w14:textId="77777777" w:rsidR="00E06D5E" w:rsidRPr="00E06D5E" w:rsidRDefault="00E06D5E" w:rsidP="00E06D5E">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Timeliness of screening and decision-making</w:t>
      </w:r>
    </w:p>
    <w:p w14:paraId="1F718713" w14:textId="77777777" w:rsidR="00E06D5E" w:rsidRPr="00E06D5E" w:rsidRDefault="00E06D5E" w:rsidP="00E06D5E">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Bed assignment accuracy</w:t>
      </w:r>
    </w:p>
    <w:p w14:paraId="6157B69F" w14:textId="77777777" w:rsidR="00E06D5E" w:rsidRPr="00E06D5E" w:rsidRDefault="00E06D5E" w:rsidP="00E06D5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Document findings and share anonymized themes during staff meetings</w:t>
      </w:r>
    </w:p>
    <w:p w14:paraId="7D05DFFA"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Why It Matters:</w:t>
      </w:r>
    </w:p>
    <w:p w14:paraId="656E8170" w14:textId="77777777" w:rsidR="00E06D5E" w:rsidRPr="00E06D5E" w:rsidRDefault="00E06D5E" w:rsidP="00E06D5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Detects documentation gaps before they become audit liabilities</w:t>
      </w:r>
    </w:p>
    <w:p w14:paraId="5B689D0C" w14:textId="77777777" w:rsidR="00E06D5E" w:rsidRPr="00E06D5E" w:rsidRDefault="00E06D5E" w:rsidP="00E06D5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Reinforces process integrity and staff accountability</w:t>
      </w:r>
    </w:p>
    <w:p w14:paraId="575DBCC2" w14:textId="77777777" w:rsidR="00E06D5E" w:rsidRPr="00E06D5E" w:rsidRDefault="00E06D5E" w:rsidP="00E06D5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Identifies trends that could indicate broader workflow issues</w:t>
      </w:r>
    </w:p>
    <w:p w14:paraId="421F51CB"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D2527E8">
          <v:rect id="_x0000_i1037" alt="" style="width:468pt;height:.05pt;mso-width-percent:0;mso-height-percent:0;mso-width-percent:0;mso-height-percent:0" o:hralign="center" o:hrstd="t" o:hr="t" fillcolor="#a0a0a0" stroked="f"/>
        </w:pict>
      </w:r>
    </w:p>
    <w:p w14:paraId="1A1918FE" w14:textId="77777777" w:rsidR="00520678" w:rsidRDefault="00520678">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4691A120" w14:textId="59D34C0B" w:rsidR="00E06D5E" w:rsidRPr="00E06D5E" w:rsidRDefault="00E06D5E" w:rsidP="00E06D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lastRenderedPageBreak/>
        <w:t>Track Time-to-Bed Metrics &amp; Share Quarterly Scorecards</w:t>
      </w:r>
    </w:p>
    <w:p w14:paraId="5BDF344C"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What to Do:</w:t>
      </w:r>
    </w:p>
    <w:p w14:paraId="1CE62220" w14:textId="77777777" w:rsidR="00E06D5E" w:rsidRPr="00E06D5E" w:rsidRDefault="00E06D5E" w:rsidP="00E06D5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Calculate average time from:</w:t>
      </w:r>
    </w:p>
    <w:p w14:paraId="43B7E949" w14:textId="77777777" w:rsidR="00E06D5E" w:rsidRPr="00E06D5E" w:rsidRDefault="00E06D5E" w:rsidP="00E06D5E">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Referral receipt to screening</w:t>
      </w:r>
    </w:p>
    <w:p w14:paraId="017D7030" w14:textId="77777777" w:rsidR="00E06D5E" w:rsidRPr="00E06D5E" w:rsidRDefault="00E06D5E" w:rsidP="00E06D5E">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Screening to approval</w:t>
      </w:r>
    </w:p>
    <w:p w14:paraId="44458CAC" w14:textId="77777777" w:rsidR="00E06D5E" w:rsidRPr="00E06D5E" w:rsidRDefault="00E06D5E" w:rsidP="00E06D5E">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Approval to physical admission</w:t>
      </w:r>
    </w:p>
    <w:p w14:paraId="3B3274E8" w14:textId="77777777" w:rsidR="00E06D5E" w:rsidRPr="00E06D5E" w:rsidRDefault="00E06D5E" w:rsidP="00E06D5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Break metrics down by:</w:t>
      </w:r>
    </w:p>
    <w:p w14:paraId="19BBC618" w14:textId="77777777" w:rsidR="00E06D5E" w:rsidRPr="00E06D5E" w:rsidRDefault="00E06D5E" w:rsidP="00E06D5E">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Shift or region</w:t>
      </w:r>
    </w:p>
    <w:p w14:paraId="53AB4A14" w14:textId="77777777" w:rsidR="00E06D5E" w:rsidRPr="00E06D5E" w:rsidRDefault="00E06D5E" w:rsidP="00E06D5E">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Payer type</w:t>
      </w:r>
    </w:p>
    <w:p w14:paraId="6D45C66B" w14:textId="77777777" w:rsidR="00E06D5E" w:rsidRPr="00E06D5E" w:rsidRDefault="00E06D5E" w:rsidP="00E06D5E">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Referral source</w:t>
      </w:r>
    </w:p>
    <w:p w14:paraId="28D9D8F4" w14:textId="77777777" w:rsidR="00E06D5E" w:rsidRPr="00E06D5E" w:rsidRDefault="00E06D5E" w:rsidP="00E06D5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Create a visual scorecard showing trends, improvements, and outliers</w:t>
      </w:r>
    </w:p>
    <w:p w14:paraId="4864D9A3"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Why It Matters:</w:t>
      </w:r>
    </w:p>
    <w:p w14:paraId="5FFE299D" w14:textId="77777777" w:rsidR="00E06D5E" w:rsidRPr="00E06D5E" w:rsidRDefault="00E06D5E" w:rsidP="00E06D5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Helps leadership optimize staffing and resource allocation</w:t>
      </w:r>
    </w:p>
    <w:p w14:paraId="348F5F5A" w14:textId="77777777" w:rsidR="00E06D5E" w:rsidRPr="00E06D5E" w:rsidRDefault="00E06D5E" w:rsidP="00E06D5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Encourages friendly competition and improvement within the team</w:t>
      </w:r>
    </w:p>
    <w:p w14:paraId="7B49C813" w14:textId="77777777" w:rsidR="00E06D5E" w:rsidRPr="00E06D5E" w:rsidRDefault="00E06D5E" w:rsidP="00E06D5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Demonstrates impact of system changes over time</w:t>
      </w:r>
    </w:p>
    <w:p w14:paraId="7BBC1812" w14:textId="77777777" w:rsid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0A17F4">
          <v:rect id="_x0000_i1036" alt="" style="width:468pt;height:.05pt;mso-width-percent:0;mso-height-percent:0;mso-width-percent:0;mso-height-percent:0" o:hralign="center" o:hrstd="t" o:hr="t" fillcolor="#a0a0a0" stroked="f"/>
        </w:pict>
      </w:r>
    </w:p>
    <w:p w14:paraId="448B1DFE" w14:textId="714EAE0D" w:rsidR="00E06D5E" w:rsidRPr="00E06D5E" w:rsidRDefault="00E06D5E" w:rsidP="00520678">
      <w:pPr>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 xml:space="preserve"> Recognize Top-Performing Team Members</w:t>
      </w:r>
    </w:p>
    <w:p w14:paraId="280A63E7"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What to Do:</w:t>
      </w:r>
    </w:p>
    <w:p w14:paraId="31A76B76" w14:textId="77777777" w:rsidR="00E06D5E" w:rsidRPr="00E06D5E" w:rsidRDefault="00E06D5E" w:rsidP="00E06D5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Publicly acknowledge individuals or teams who:</w:t>
      </w:r>
    </w:p>
    <w:p w14:paraId="7ED25FD6" w14:textId="77777777" w:rsidR="00E06D5E" w:rsidRPr="00E06D5E" w:rsidRDefault="00E06D5E" w:rsidP="00E06D5E">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Close difficult cases</w:t>
      </w:r>
    </w:p>
    <w:p w14:paraId="67B38A01" w14:textId="77777777" w:rsidR="00E06D5E" w:rsidRPr="00E06D5E" w:rsidRDefault="00E06D5E" w:rsidP="00E06D5E">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Demonstrate exceptional professionalism</w:t>
      </w:r>
    </w:p>
    <w:p w14:paraId="6DC22C8A" w14:textId="77777777" w:rsidR="00E06D5E" w:rsidRPr="00E06D5E" w:rsidRDefault="00E06D5E" w:rsidP="00E06D5E">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Receive positive feedback from referral partners</w:t>
      </w:r>
    </w:p>
    <w:p w14:paraId="4D33A4B7" w14:textId="77777777" w:rsidR="00E06D5E" w:rsidRPr="00E06D5E" w:rsidRDefault="00E06D5E" w:rsidP="00E06D5E">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Contribute to successful audits or workflow improvements</w:t>
      </w:r>
    </w:p>
    <w:p w14:paraId="5142E09D" w14:textId="77777777" w:rsidR="00E06D5E" w:rsidRPr="00E06D5E" w:rsidRDefault="00E06D5E" w:rsidP="00E06D5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Use recognition methods such as:</w:t>
      </w:r>
    </w:p>
    <w:p w14:paraId="0DAFC29A" w14:textId="77777777" w:rsidR="00E06D5E" w:rsidRPr="00E06D5E" w:rsidRDefault="00E06D5E" w:rsidP="00E06D5E">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“Intake Champion of the Month”</w:t>
      </w:r>
    </w:p>
    <w:p w14:paraId="2AC94013" w14:textId="77777777" w:rsidR="00E06D5E" w:rsidRPr="00E06D5E" w:rsidRDefault="00E06D5E" w:rsidP="00E06D5E">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Spot bonuses or gift cards</w:t>
      </w:r>
    </w:p>
    <w:p w14:paraId="05ABE03D" w14:textId="77777777" w:rsidR="00E06D5E" w:rsidRPr="00E06D5E" w:rsidRDefault="00E06D5E" w:rsidP="00E06D5E">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Team shout-outs in leadership rounds or internal newsletters</w:t>
      </w:r>
    </w:p>
    <w:p w14:paraId="2DC634A4"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Why It Matters:</w:t>
      </w:r>
    </w:p>
    <w:p w14:paraId="27DE3F10" w14:textId="77777777" w:rsidR="00E06D5E" w:rsidRPr="00E06D5E" w:rsidRDefault="00E06D5E" w:rsidP="00E06D5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Reinforces desired behaviors and high standards</w:t>
      </w:r>
    </w:p>
    <w:p w14:paraId="1426073B" w14:textId="77777777" w:rsidR="00E06D5E" w:rsidRPr="00E06D5E" w:rsidRDefault="00E06D5E" w:rsidP="00E06D5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Boosts morale and engagement</w:t>
      </w:r>
    </w:p>
    <w:p w14:paraId="11F021AD" w14:textId="77777777" w:rsidR="00E06D5E" w:rsidRPr="00E06D5E" w:rsidRDefault="00E06D5E" w:rsidP="00E06D5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Encourages peer accountability and pride in shared work</w:t>
      </w:r>
    </w:p>
    <w:p w14:paraId="4448A903"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5FD746">
          <v:rect id="_x0000_i1035" alt="" style="width:468pt;height:.05pt;mso-width-percent:0;mso-height-percent:0;mso-width-percent:0;mso-height-percent:0" o:hralign="center" o:hrstd="t" o:hr="t" fillcolor="#a0a0a0" stroked="f"/>
        </w:pict>
      </w:r>
    </w:p>
    <w:p w14:paraId="3288B6A7"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By building in these systems of reflection and recognition, the centralized intake team moves from reactive to proactive—constantly learning, adapting, and improving. This is how we sustain excellence and turn operational rigor into long-term trust.</w:t>
      </w:r>
    </w:p>
    <w:p w14:paraId="476167B1" w14:textId="02E72A64" w:rsidR="00E06D5E" w:rsidRPr="00E06D5E" w:rsidRDefault="00E06D5E" w:rsidP="00520678">
      <w:pPr>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sz w:val="36"/>
          <w:szCs w:val="36"/>
          <w14:ligatures w14:val="none"/>
        </w:rPr>
        <w:lastRenderedPageBreak/>
        <w:t>1. Centralized Intake Team Scorecard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gridCol w:w="1928"/>
        <w:gridCol w:w="740"/>
        <w:gridCol w:w="1109"/>
        <w:gridCol w:w="1827"/>
      </w:tblGrid>
      <w:tr w:rsidR="00E06D5E" w:rsidRPr="00E06D5E" w14:paraId="7B08FAE9" w14:textId="77777777" w:rsidTr="00E06D5E">
        <w:trPr>
          <w:tblHeader/>
          <w:tblCellSpacing w:w="15" w:type="dxa"/>
        </w:trPr>
        <w:tc>
          <w:tcPr>
            <w:tcW w:w="0" w:type="auto"/>
            <w:vAlign w:val="center"/>
            <w:hideMark/>
          </w:tcPr>
          <w:p w14:paraId="7ED3D1E1"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Metric</w:t>
            </w:r>
          </w:p>
        </w:tc>
        <w:tc>
          <w:tcPr>
            <w:tcW w:w="0" w:type="auto"/>
            <w:vAlign w:val="center"/>
            <w:hideMark/>
          </w:tcPr>
          <w:p w14:paraId="1F27AA1D"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Target</w:t>
            </w:r>
          </w:p>
        </w:tc>
        <w:tc>
          <w:tcPr>
            <w:tcW w:w="0" w:type="auto"/>
            <w:vAlign w:val="center"/>
            <w:hideMark/>
          </w:tcPr>
          <w:p w14:paraId="4FB5DA4C"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Actual</w:t>
            </w:r>
          </w:p>
        </w:tc>
        <w:tc>
          <w:tcPr>
            <w:tcW w:w="0" w:type="auto"/>
            <w:vAlign w:val="center"/>
            <w:hideMark/>
          </w:tcPr>
          <w:p w14:paraId="0E84858E"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Status</w:t>
            </w:r>
          </w:p>
        </w:tc>
        <w:tc>
          <w:tcPr>
            <w:tcW w:w="0" w:type="auto"/>
            <w:vAlign w:val="center"/>
            <w:hideMark/>
          </w:tcPr>
          <w:p w14:paraId="0D045A4D"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Notes/Root Cause</w:t>
            </w:r>
          </w:p>
        </w:tc>
      </w:tr>
      <w:tr w:rsidR="00E06D5E" w:rsidRPr="00E06D5E" w14:paraId="1309696D" w14:textId="77777777" w:rsidTr="00E06D5E">
        <w:trPr>
          <w:tblCellSpacing w:w="15" w:type="dxa"/>
        </w:trPr>
        <w:tc>
          <w:tcPr>
            <w:tcW w:w="0" w:type="auto"/>
            <w:vAlign w:val="center"/>
            <w:hideMark/>
          </w:tcPr>
          <w:p w14:paraId="228EACAA"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Referral-to-Screening Time (avg)</w:t>
            </w:r>
          </w:p>
        </w:tc>
        <w:tc>
          <w:tcPr>
            <w:tcW w:w="0" w:type="auto"/>
            <w:vAlign w:val="center"/>
            <w:hideMark/>
          </w:tcPr>
          <w:p w14:paraId="5682BE83"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1 hour</w:t>
            </w:r>
          </w:p>
        </w:tc>
        <w:tc>
          <w:tcPr>
            <w:tcW w:w="0" w:type="auto"/>
            <w:vAlign w:val="center"/>
            <w:hideMark/>
          </w:tcPr>
          <w:p w14:paraId="70D38FBD"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7F3E31EE"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c>
          <w:tcPr>
            <w:tcW w:w="0" w:type="auto"/>
            <w:vAlign w:val="center"/>
            <w:hideMark/>
          </w:tcPr>
          <w:p w14:paraId="100E6370"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r>
      <w:tr w:rsidR="00E06D5E" w:rsidRPr="00E06D5E" w14:paraId="069DEFB0" w14:textId="77777777" w:rsidTr="00E06D5E">
        <w:trPr>
          <w:tblCellSpacing w:w="15" w:type="dxa"/>
        </w:trPr>
        <w:tc>
          <w:tcPr>
            <w:tcW w:w="0" w:type="auto"/>
            <w:vAlign w:val="center"/>
            <w:hideMark/>
          </w:tcPr>
          <w:p w14:paraId="6B1E34BD"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Intake-to-Admission Time (avg)</w:t>
            </w:r>
          </w:p>
        </w:tc>
        <w:tc>
          <w:tcPr>
            <w:tcW w:w="0" w:type="auto"/>
            <w:vAlign w:val="center"/>
            <w:hideMark/>
          </w:tcPr>
          <w:p w14:paraId="00DA3512"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4 hours</w:t>
            </w:r>
          </w:p>
        </w:tc>
        <w:tc>
          <w:tcPr>
            <w:tcW w:w="0" w:type="auto"/>
            <w:vAlign w:val="center"/>
            <w:hideMark/>
          </w:tcPr>
          <w:p w14:paraId="4E329123"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04F6BBE5"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c>
          <w:tcPr>
            <w:tcW w:w="0" w:type="auto"/>
            <w:vAlign w:val="center"/>
            <w:hideMark/>
          </w:tcPr>
          <w:p w14:paraId="0892E669"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r>
      <w:tr w:rsidR="00E06D5E" w:rsidRPr="00E06D5E" w14:paraId="3D25B03F" w14:textId="77777777" w:rsidTr="00E06D5E">
        <w:trPr>
          <w:tblCellSpacing w:w="15" w:type="dxa"/>
        </w:trPr>
        <w:tc>
          <w:tcPr>
            <w:tcW w:w="0" w:type="auto"/>
            <w:vAlign w:val="center"/>
            <w:hideMark/>
          </w:tcPr>
          <w:p w14:paraId="7400E67C"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Insurance Verification Time</w:t>
            </w:r>
          </w:p>
        </w:tc>
        <w:tc>
          <w:tcPr>
            <w:tcW w:w="0" w:type="auto"/>
            <w:vAlign w:val="center"/>
            <w:hideMark/>
          </w:tcPr>
          <w:p w14:paraId="6197220C"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15 minutes</w:t>
            </w:r>
          </w:p>
        </w:tc>
        <w:tc>
          <w:tcPr>
            <w:tcW w:w="0" w:type="auto"/>
            <w:vAlign w:val="center"/>
            <w:hideMark/>
          </w:tcPr>
          <w:p w14:paraId="7E022210"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32E1BBBF"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c>
          <w:tcPr>
            <w:tcW w:w="0" w:type="auto"/>
            <w:vAlign w:val="center"/>
            <w:hideMark/>
          </w:tcPr>
          <w:p w14:paraId="18EC5280"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r>
      <w:tr w:rsidR="00E06D5E" w:rsidRPr="00E06D5E" w14:paraId="38BCBC77" w14:textId="77777777" w:rsidTr="00E06D5E">
        <w:trPr>
          <w:tblCellSpacing w:w="15" w:type="dxa"/>
        </w:trPr>
        <w:tc>
          <w:tcPr>
            <w:tcW w:w="0" w:type="auto"/>
            <w:vAlign w:val="center"/>
            <w:hideMark/>
          </w:tcPr>
          <w:p w14:paraId="69E7401E"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of Complete Intake Packets on Arrival</w:t>
            </w:r>
          </w:p>
        </w:tc>
        <w:tc>
          <w:tcPr>
            <w:tcW w:w="0" w:type="auto"/>
            <w:vAlign w:val="center"/>
            <w:hideMark/>
          </w:tcPr>
          <w:p w14:paraId="6793B9EE"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95%</w:t>
            </w:r>
          </w:p>
        </w:tc>
        <w:tc>
          <w:tcPr>
            <w:tcW w:w="0" w:type="auto"/>
            <w:vAlign w:val="center"/>
            <w:hideMark/>
          </w:tcPr>
          <w:p w14:paraId="2950C30B"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1A573FD6"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c>
          <w:tcPr>
            <w:tcW w:w="0" w:type="auto"/>
            <w:vAlign w:val="center"/>
            <w:hideMark/>
          </w:tcPr>
          <w:p w14:paraId="2038A91F"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r>
      <w:tr w:rsidR="00E06D5E" w:rsidRPr="00E06D5E" w14:paraId="133B5D14" w14:textId="77777777" w:rsidTr="00E06D5E">
        <w:trPr>
          <w:tblCellSpacing w:w="15" w:type="dxa"/>
        </w:trPr>
        <w:tc>
          <w:tcPr>
            <w:tcW w:w="0" w:type="auto"/>
            <w:vAlign w:val="center"/>
            <w:hideMark/>
          </w:tcPr>
          <w:p w14:paraId="3B96EF88"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Referral Conversion Rate</w:t>
            </w:r>
          </w:p>
        </w:tc>
        <w:tc>
          <w:tcPr>
            <w:tcW w:w="0" w:type="auto"/>
            <w:vAlign w:val="center"/>
            <w:hideMark/>
          </w:tcPr>
          <w:p w14:paraId="28700721"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85%</w:t>
            </w:r>
          </w:p>
        </w:tc>
        <w:tc>
          <w:tcPr>
            <w:tcW w:w="0" w:type="auto"/>
            <w:vAlign w:val="center"/>
            <w:hideMark/>
          </w:tcPr>
          <w:p w14:paraId="6CCE44D8"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4033F3BA"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c>
          <w:tcPr>
            <w:tcW w:w="0" w:type="auto"/>
            <w:vAlign w:val="center"/>
            <w:hideMark/>
          </w:tcPr>
          <w:p w14:paraId="2419F792"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r>
      <w:tr w:rsidR="00E06D5E" w:rsidRPr="00E06D5E" w14:paraId="4278E82B" w14:textId="77777777" w:rsidTr="00E06D5E">
        <w:trPr>
          <w:tblCellSpacing w:w="15" w:type="dxa"/>
        </w:trPr>
        <w:tc>
          <w:tcPr>
            <w:tcW w:w="0" w:type="auto"/>
            <w:vAlign w:val="center"/>
            <w:hideMark/>
          </w:tcPr>
          <w:p w14:paraId="676E9537"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Patient Satisfaction (from survey)</w:t>
            </w:r>
          </w:p>
        </w:tc>
        <w:tc>
          <w:tcPr>
            <w:tcW w:w="0" w:type="auto"/>
            <w:vAlign w:val="center"/>
            <w:hideMark/>
          </w:tcPr>
          <w:p w14:paraId="185F4DBA"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90% positive</w:t>
            </w:r>
          </w:p>
        </w:tc>
        <w:tc>
          <w:tcPr>
            <w:tcW w:w="0" w:type="auto"/>
            <w:vAlign w:val="center"/>
            <w:hideMark/>
          </w:tcPr>
          <w:p w14:paraId="1B359DE2"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72F69B40"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c>
          <w:tcPr>
            <w:tcW w:w="0" w:type="auto"/>
            <w:vAlign w:val="center"/>
            <w:hideMark/>
          </w:tcPr>
          <w:p w14:paraId="79AED045"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r>
      <w:tr w:rsidR="00E06D5E" w:rsidRPr="00E06D5E" w14:paraId="15C1F2BF" w14:textId="77777777" w:rsidTr="00E06D5E">
        <w:trPr>
          <w:tblCellSpacing w:w="15" w:type="dxa"/>
        </w:trPr>
        <w:tc>
          <w:tcPr>
            <w:tcW w:w="0" w:type="auto"/>
            <w:vAlign w:val="center"/>
            <w:hideMark/>
          </w:tcPr>
          <w:p w14:paraId="336F9243"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Referral Partner Satisfaction</w:t>
            </w:r>
          </w:p>
        </w:tc>
        <w:tc>
          <w:tcPr>
            <w:tcW w:w="0" w:type="auto"/>
            <w:vAlign w:val="center"/>
            <w:hideMark/>
          </w:tcPr>
          <w:p w14:paraId="5A4AE99B"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90% positive</w:t>
            </w:r>
          </w:p>
        </w:tc>
        <w:tc>
          <w:tcPr>
            <w:tcW w:w="0" w:type="auto"/>
            <w:vAlign w:val="center"/>
            <w:hideMark/>
          </w:tcPr>
          <w:p w14:paraId="06F0D447"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600C49A9"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c>
          <w:tcPr>
            <w:tcW w:w="0" w:type="auto"/>
            <w:vAlign w:val="center"/>
            <w:hideMark/>
          </w:tcPr>
          <w:p w14:paraId="5272B621"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r>
      <w:tr w:rsidR="00E06D5E" w:rsidRPr="00E06D5E" w14:paraId="69D1BA17" w14:textId="77777777" w:rsidTr="00E06D5E">
        <w:trPr>
          <w:tblCellSpacing w:w="15" w:type="dxa"/>
        </w:trPr>
        <w:tc>
          <w:tcPr>
            <w:tcW w:w="0" w:type="auto"/>
            <w:vAlign w:val="center"/>
            <w:hideMark/>
          </w:tcPr>
          <w:p w14:paraId="4C8A4C4C"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of Missed or Delayed Referrals</w:t>
            </w:r>
          </w:p>
        </w:tc>
        <w:tc>
          <w:tcPr>
            <w:tcW w:w="0" w:type="auto"/>
            <w:vAlign w:val="center"/>
            <w:hideMark/>
          </w:tcPr>
          <w:p w14:paraId="709DE150"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2/month</w:t>
            </w:r>
          </w:p>
        </w:tc>
        <w:tc>
          <w:tcPr>
            <w:tcW w:w="0" w:type="auto"/>
            <w:vAlign w:val="center"/>
            <w:hideMark/>
          </w:tcPr>
          <w:p w14:paraId="73D9B4DE"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01FC9DC4"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c>
          <w:tcPr>
            <w:tcW w:w="0" w:type="auto"/>
            <w:vAlign w:val="center"/>
            <w:hideMark/>
          </w:tcPr>
          <w:p w14:paraId="533D1815"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r>
      <w:tr w:rsidR="00E06D5E" w:rsidRPr="00E06D5E" w14:paraId="7E2FF4A5" w14:textId="77777777" w:rsidTr="00E06D5E">
        <w:trPr>
          <w:tblCellSpacing w:w="15" w:type="dxa"/>
        </w:trPr>
        <w:tc>
          <w:tcPr>
            <w:tcW w:w="0" w:type="auto"/>
            <w:vAlign w:val="center"/>
            <w:hideMark/>
          </w:tcPr>
          <w:p w14:paraId="2DDCFABE"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Audit Compliance Score (chart review)</w:t>
            </w:r>
          </w:p>
        </w:tc>
        <w:tc>
          <w:tcPr>
            <w:tcW w:w="0" w:type="auto"/>
            <w:vAlign w:val="center"/>
            <w:hideMark/>
          </w:tcPr>
          <w:p w14:paraId="118C2491"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95%</w:t>
            </w:r>
          </w:p>
        </w:tc>
        <w:tc>
          <w:tcPr>
            <w:tcW w:w="0" w:type="auto"/>
            <w:vAlign w:val="center"/>
            <w:hideMark/>
          </w:tcPr>
          <w:p w14:paraId="48638479"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2CDDFFD5"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c>
          <w:tcPr>
            <w:tcW w:w="0" w:type="auto"/>
            <w:vAlign w:val="center"/>
            <w:hideMark/>
          </w:tcPr>
          <w:p w14:paraId="5BAC5B1B"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r>
      <w:tr w:rsidR="00E06D5E" w:rsidRPr="00E06D5E" w14:paraId="5786CC75" w14:textId="77777777" w:rsidTr="00E06D5E">
        <w:trPr>
          <w:tblCellSpacing w:w="15" w:type="dxa"/>
        </w:trPr>
        <w:tc>
          <w:tcPr>
            <w:tcW w:w="0" w:type="auto"/>
            <w:vAlign w:val="center"/>
            <w:hideMark/>
          </w:tcPr>
          <w:p w14:paraId="10C955FB"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Intake Staff Attendance (PTO coverage)</w:t>
            </w:r>
          </w:p>
        </w:tc>
        <w:tc>
          <w:tcPr>
            <w:tcW w:w="0" w:type="auto"/>
            <w:vAlign w:val="center"/>
            <w:hideMark/>
          </w:tcPr>
          <w:p w14:paraId="16F43136"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98% coverage rate</w:t>
            </w:r>
          </w:p>
        </w:tc>
        <w:tc>
          <w:tcPr>
            <w:tcW w:w="0" w:type="auto"/>
            <w:vAlign w:val="center"/>
            <w:hideMark/>
          </w:tcPr>
          <w:p w14:paraId="3110B2D8"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68A9D438"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c>
          <w:tcPr>
            <w:tcW w:w="0" w:type="auto"/>
            <w:vAlign w:val="center"/>
            <w:hideMark/>
          </w:tcPr>
          <w:p w14:paraId="563F5AAF"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r>
    </w:tbl>
    <w:p w14:paraId="695E7905"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On Track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Watch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Needs Improvement</w:t>
      </w:r>
    </w:p>
    <w:p w14:paraId="6855B0D2"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9421C8">
          <v:rect id="_x0000_i1034" alt="" style="width:468pt;height:.05pt;mso-width-percent:0;mso-height-percent:0;mso-width-percent:0;mso-height-percent:0" o:hralign="center" o:hrstd="t" o:hr="t" fillcolor="#a0a0a0" stroked="f"/>
        </w:pict>
      </w:r>
    </w:p>
    <w:p w14:paraId="0B872819" w14:textId="69DABCDA" w:rsidR="00E06D5E" w:rsidRDefault="00E06D5E" w:rsidP="00E06D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EED4EC7" w14:textId="77777777" w:rsidR="00E06D5E" w:rsidRDefault="00E06D5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A6D59BB" w14:textId="5B19FC34" w:rsidR="00E06D5E" w:rsidRPr="00E06D5E" w:rsidRDefault="00E06D5E" w:rsidP="00E06D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6D5E">
        <w:rPr>
          <w:rFonts w:ascii="Times New Roman" w:eastAsia="Times New Roman" w:hAnsi="Times New Roman" w:cs="Times New Roman"/>
          <w:b/>
          <w:bCs/>
          <w:kern w:val="0"/>
          <w:sz w:val="36"/>
          <w:szCs w:val="36"/>
          <w14:ligatures w14:val="none"/>
        </w:rPr>
        <w:lastRenderedPageBreak/>
        <w:t>2. Individual Performance Scorecard (Quarterly)</w:t>
      </w:r>
    </w:p>
    <w:p w14:paraId="101834ED"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i/>
          <w:iCs/>
          <w:kern w:val="0"/>
          <w14:ligatures w14:val="none"/>
        </w:rPr>
        <w:t>(Ideal for Intake Nurse, Coordinator, or Business Office Rep)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5"/>
        <w:gridCol w:w="2420"/>
      </w:tblGrid>
      <w:tr w:rsidR="00E06D5E" w:rsidRPr="00E06D5E" w14:paraId="5DAB93DF" w14:textId="77777777" w:rsidTr="00E06D5E">
        <w:trPr>
          <w:tblHeader/>
          <w:tblCellSpacing w:w="15" w:type="dxa"/>
        </w:trPr>
        <w:tc>
          <w:tcPr>
            <w:tcW w:w="0" w:type="auto"/>
            <w:vAlign w:val="center"/>
            <w:hideMark/>
          </w:tcPr>
          <w:p w14:paraId="0BB32159"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Employee Name:</w:t>
            </w:r>
          </w:p>
        </w:tc>
        <w:tc>
          <w:tcPr>
            <w:tcW w:w="0" w:type="auto"/>
            <w:vAlign w:val="center"/>
            <w:hideMark/>
          </w:tcPr>
          <w:p w14:paraId="7212FE1D"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Quarter:</w:t>
            </w:r>
          </w:p>
        </w:tc>
      </w:tr>
      <w:tr w:rsidR="00E06D5E" w:rsidRPr="00E06D5E" w14:paraId="12188FE5" w14:textId="77777777" w:rsidTr="00E06D5E">
        <w:trPr>
          <w:tblCellSpacing w:w="15" w:type="dxa"/>
        </w:trPr>
        <w:tc>
          <w:tcPr>
            <w:tcW w:w="0" w:type="auto"/>
            <w:vAlign w:val="center"/>
            <w:hideMark/>
          </w:tcPr>
          <w:p w14:paraId="1A54BD16"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Metric</w:t>
            </w:r>
          </w:p>
        </w:tc>
        <w:tc>
          <w:tcPr>
            <w:tcW w:w="0" w:type="auto"/>
            <w:vAlign w:val="center"/>
            <w:hideMark/>
          </w:tcPr>
          <w:p w14:paraId="3FE6BE1F"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Goal</w:t>
            </w:r>
          </w:p>
        </w:tc>
      </w:tr>
      <w:tr w:rsidR="00E06D5E" w:rsidRPr="00E06D5E" w14:paraId="1FFF424F" w14:textId="77777777" w:rsidTr="00E06D5E">
        <w:trPr>
          <w:tblCellSpacing w:w="15" w:type="dxa"/>
        </w:trPr>
        <w:tc>
          <w:tcPr>
            <w:tcW w:w="0" w:type="auto"/>
            <w:vAlign w:val="center"/>
            <w:hideMark/>
          </w:tcPr>
          <w:p w14:paraId="5354F57E"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w:t>
            </w:r>
          </w:p>
        </w:tc>
        <w:tc>
          <w:tcPr>
            <w:tcW w:w="0" w:type="auto"/>
            <w:vAlign w:val="center"/>
            <w:hideMark/>
          </w:tcPr>
          <w:p w14:paraId="7D5AD08A"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w:t>
            </w:r>
          </w:p>
        </w:tc>
      </w:tr>
      <w:tr w:rsidR="00E06D5E" w:rsidRPr="00E06D5E" w14:paraId="768B3E06" w14:textId="77777777" w:rsidTr="00E06D5E">
        <w:trPr>
          <w:tblCellSpacing w:w="15" w:type="dxa"/>
        </w:trPr>
        <w:tc>
          <w:tcPr>
            <w:tcW w:w="0" w:type="auto"/>
            <w:vAlign w:val="center"/>
            <w:hideMark/>
          </w:tcPr>
          <w:p w14:paraId="1E9F9410"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Screenings Completed</w:t>
            </w:r>
          </w:p>
        </w:tc>
        <w:tc>
          <w:tcPr>
            <w:tcW w:w="0" w:type="auto"/>
            <w:vAlign w:val="center"/>
            <w:hideMark/>
          </w:tcPr>
          <w:p w14:paraId="6AFFE89A"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90% of assigned cases</w:t>
            </w:r>
          </w:p>
        </w:tc>
      </w:tr>
      <w:tr w:rsidR="00E06D5E" w:rsidRPr="00E06D5E" w14:paraId="02A91098" w14:textId="77777777" w:rsidTr="00E06D5E">
        <w:trPr>
          <w:tblCellSpacing w:w="15" w:type="dxa"/>
        </w:trPr>
        <w:tc>
          <w:tcPr>
            <w:tcW w:w="0" w:type="auto"/>
            <w:vAlign w:val="center"/>
            <w:hideMark/>
          </w:tcPr>
          <w:p w14:paraId="56D7638A"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Accuracy of Documentation</w:t>
            </w:r>
          </w:p>
        </w:tc>
        <w:tc>
          <w:tcPr>
            <w:tcW w:w="0" w:type="auto"/>
            <w:vAlign w:val="center"/>
            <w:hideMark/>
          </w:tcPr>
          <w:p w14:paraId="20128C9C"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98%</w:t>
            </w:r>
          </w:p>
        </w:tc>
      </w:tr>
      <w:tr w:rsidR="00E06D5E" w:rsidRPr="00E06D5E" w14:paraId="2A7D5B25" w14:textId="77777777" w:rsidTr="00E06D5E">
        <w:trPr>
          <w:tblCellSpacing w:w="15" w:type="dxa"/>
        </w:trPr>
        <w:tc>
          <w:tcPr>
            <w:tcW w:w="0" w:type="auto"/>
            <w:vAlign w:val="center"/>
            <w:hideMark/>
          </w:tcPr>
          <w:p w14:paraId="2AEE5B7B"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Timeliness of Approvals</w:t>
            </w:r>
          </w:p>
        </w:tc>
        <w:tc>
          <w:tcPr>
            <w:tcW w:w="0" w:type="auto"/>
            <w:vAlign w:val="center"/>
            <w:hideMark/>
          </w:tcPr>
          <w:p w14:paraId="1538435F"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Avg &lt; 1.5 </w:t>
            </w:r>
            <w:proofErr w:type="spellStart"/>
            <w:r w:rsidRPr="00E06D5E">
              <w:rPr>
                <w:rFonts w:ascii="Times New Roman" w:eastAsia="Times New Roman" w:hAnsi="Times New Roman" w:cs="Times New Roman"/>
                <w:kern w:val="0"/>
                <w14:ligatures w14:val="none"/>
              </w:rPr>
              <w:t>hrs</w:t>
            </w:r>
            <w:proofErr w:type="spellEnd"/>
          </w:p>
        </w:tc>
      </w:tr>
      <w:tr w:rsidR="00E06D5E" w:rsidRPr="00E06D5E" w14:paraId="5FCC8D16" w14:textId="77777777" w:rsidTr="00E06D5E">
        <w:trPr>
          <w:tblCellSpacing w:w="15" w:type="dxa"/>
        </w:trPr>
        <w:tc>
          <w:tcPr>
            <w:tcW w:w="0" w:type="auto"/>
            <w:vAlign w:val="center"/>
            <w:hideMark/>
          </w:tcPr>
          <w:p w14:paraId="261E66CC"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Collaboration &amp; Communication</w:t>
            </w:r>
          </w:p>
        </w:tc>
        <w:tc>
          <w:tcPr>
            <w:tcW w:w="0" w:type="auto"/>
            <w:vAlign w:val="center"/>
            <w:hideMark/>
          </w:tcPr>
          <w:p w14:paraId="775A571B"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360° feedback</w:t>
            </w:r>
          </w:p>
        </w:tc>
      </w:tr>
      <w:tr w:rsidR="00E06D5E" w:rsidRPr="00E06D5E" w14:paraId="5C41DA64" w14:textId="77777777" w:rsidTr="00E06D5E">
        <w:trPr>
          <w:tblCellSpacing w:w="15" w:type="dxa"/>
        </w:trPr>
        <w:tc>
          <w:tcPr>
            <w:tcW w:w="0" w:type="auto"/>
            <w:vAlign w:val="center"/>
            <w:hideMark/>
          </w:tcPr>
          <w:p w14:paraId="454D5C95"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Participation in Training</w:t>
            </w:r>
          </w:p>
        </w:tc>
        <w:tc>
          <w:tcPr>
            <w:tcW w:w="0" w:type="auto"/>
            <w:vAlign w:val="center"/>
            <w:hideMark/>
          </w:tcPr>
          <w:p w14:paraId="43E5A6EE"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100% attended</w:t>
            </w:r>
          </w:p>
        </w:tc>
      </w:tr>
      <w:tr w:rsidR="00E06D5E" w:rsidRPr="00E06D5E" w14:paraId="656B5500" w14:textId="77777777" w:rsidTr="00E06D5E">
        <w:trPr>
          <w:tblCellSpacing w:w="15" w:type="dxa"/>
        </w:trPr>
        <w:tc>
          <w:tcPr>
            <w:tcW w:w="0" w:type="auto"/>
            <w:vAlign w:val="center"/>
            <w:hideMark/>
          </w:tcPr>
          <w:p w14:paraId="656417AD"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Referral Source Compliments/Issues</w:t>
            </w:r>
          </w:p>
        </w:tc>
        <w:tc>
          <w:tcPr>
            <w:tcW w:w="0" w:type="auto"/>
            <w:vAlign w:val="center"/>
            <w:hideMark/>
          </w:tcPr>
          <w:p w14:paraId="4BED3086"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0–2 incidents</w:t>
            </w:r>
          </w:p>
        </w:tc>
      </w:tr>
      <w:tr w:rsidR="00E06D5E" w:rsidRPr="00E06D5E" w14:paraId="33E13273" w14:textId="77777777" w:rsidTr="00E06D5E">
        <w:trPr>
          <w:tblCellSpacing w:w="15" w:type="dxa"/>
        </w:trPr>
        <w:tc>
          <w:tcPr>
            <w:tcW w:w="0" w:type="auto"/>
            <w:vAlign w:val="center"/>
            <w:hideMark/>
          </w:tcPr>
          <w:p w14:paraId="61A8D669"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Audit Flag Rate (per 10 charts)</w:t>
            </w:r>
          </w:p>
        </w:tc>
        <w:tc>
          <w:tcPr>
            <w:tcW w:w="0" w:type="auto"/>
            <w:vAlign w:val="center"/>
            <w:hideMark/>
          </w:tcPr>
          <w:p w14:paraId="25366C30"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 xml:space="preserve">0–1 </w:t>
            </w:r>
            <w:proofErr w:type="gramStart"/>
            <w:r w:rsidRPr="00E06D5E">
              <w:rPr>
                <w:rFonts w:ascii="Times New Roman" w:eastAsia="Times New Roman" w:hAnsi="Times New Roman" w:cs="Times New Roman"/>
                <w:kern w:val="0"/>
                <w14:ligatures w14:val="none"/>
              </w:rPr>
              <w:t>flags</w:t>
            </w:r>
            <w:proofErr w:type="gramEnd"/>
          </w:p>
        </w:tc>
      </w:tr>
    </w:tbl>
    <w:p w14:paraId="6159246A"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b/>
          <w:bCs/>
          <w:kern w:val="0"/>
          <w14:ligatures w14:val="none"/>
        </w:rPr>
        <w:t>Comments from Supervisor:</w:t>
      </w:r>
      <w:r w:rsidRPr="00E06D5E">
        <w:rPr>
          <w:rFonts w:ascii="Times New Roman" w:eastAsia="Times New Roman" w:hAnsi="Times New Roman" w:cs="Times New Roman"/>
          <w:kern w:val="0"/>
          <w14:ligatures w14:val="none"/>
        </w:rPr>
        <w:br/>
        <w:t>[Freeform area for comments, praise, or coaching]</w:t>
      </w:r>
    </w:p>
    <w:p w14:paraId="33D6F104"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628C9A">
          <v:rect id="_x0000_i1033" alt="" style="width:468pt;height:.05pt;mso-width-percent:0;mso-height-percent:0;mso-width-percent:0;mso-height-percent:0" o:hralign="center" o:hrstd="t" o:hr="t" fillcolor="#a0a0a0" stroked="f"/>
        </w:pict>
      </w:r>
    </w:p>
    <w:p w14:paraId="57E8FF9E" w14:textId="46D26083" w:rsidR="00E06D5E" w:rsidRPr="00E06D5E" w:rsidRDefault="00E06D5E" w:rsidP="00E06D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6D5E">
        <w:rPr>
          <w:rFonts w:ascii="Times New Roman" w:eastAsia="Times New Roman" w:hAnsi="Times New Roman" w:cs="Times New Roman"/>
          <w:b/>
          <w:bCs/>
          <w:kern w:val="0"/>
          <w:sz w:val="36"/>
          <w:szCs w:val="36"/>
          <w14:ligatures w14:val="none"/>
        </w:rPr>
        <w:t>3. Executive-Level Dashboard (Quarterly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1"/>
        <w:gridCol w:w="367"/>
        <w:gridCol w:w="367"/>
        <w:gridCol w:w="367"/>
        <w:gridCol w:w="367"/>
        <w:gridCol w:w="1169"/>
      </w:tblGrid>
      <w:tr w:rsidR="00E06D5E" w:rsidRPr="00E06D5E" w14:paraId="7C17443F" w14:textId="77777777" w:rsidTr="00E06D5E">
        <w:trPr>
          <w:tblHeader/>
          <w:tblCellSpacing w:w="15" w:type="dxa"/>
        </w:trPr>
        <w:tc>
          <w:tcPr>
            <w:tcW w:w="0" w:type="auto"/>
            <w:vAlign w:val="center"/>
            <w:hideMark/>
          </w:tcPr>
          <w:p w14:paraId="20A33016"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KPI</w:t>
            </w:r>
          </w:p>
        </w:tc>
        <w:tc>
          <w:tcPr>
            <w:tcW w:w="0" w:type="auto"/>
            <w:vAlign w:val="center"/>
            <w:hideMark/>
          </w:tcPr>
          <w:p w14:paraId="2F786DBF"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Q1</w:t>
            </w:r>
          </w:p>
        </w:tc>
        <w:tc>
          <w:tcPr>
            <w:tcW w:w="0" w:type="auto"/>
            <w:vAlign w:val="center"/>
            <w:hideMark/>
          </w:tcPr>
          <w:p w14:paraId="3A17033E"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Q2</w:t>
            </w:r>
          </w:p>
        </w:tc>
        <w:tc>
          <w:tcPr>
            <w:tcW w:w="0" w:type="auto"/>
            <w:vAlign w:val="center"/>
            <w:hideMark/>
          </w:tcPr>
          <w:p w14:paraId="1FE4269C"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Q3</w:t>
            </w:r>
          </w:p>
        </w:tc>
        <w:tc>
          <w:tcPr>
            <w:tcW w:w="0" w:type="auto"/>
            <w:vAlign w:val="center"/>
            <w:hideMark/>
          </w:tcPr>
          <w:p w14:paraId="0EA9F449"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Q4</w:t>
            </w:r>
          </w:p>
        </w:tc>
        <w:tc>
          <w:tcPr>
            <w:tcW w:w="0" w:type="auto"/>
            <w:vAlign w:val="center"/>
            <w:hideMark/>
          </w:tcPr>
          <w:p w14:paraId="290D3E2E" w14:textId="77777777" w:rsidR="00E06D5E" w:rsidRPr="00E06D5E" w:rsidRDefault="00E06D5E" w:rsidP="00E06D5E">
            <w:pPr>
              <w:spacing w:after="0" w:line="240" w:lineRule="auto"/>
              <w:jc w:val="center"/>
              <w:rPr>
                <w:rFonts w:ascii="Times New Roman" w:eastAsia="Times New Roman" w:hAnsi="Times New Roman" w:cs="Times New Roman"/>
                <w:b/>
                <w:bCs/>
                <w:kern w:val="0"/>
                <w14:ligatures w14:val="none"/>
              </w:rPr>
            </w:pPr>
            <w:r w:rsidRPr="00E06D5E">
              <w:rPr>
                <w:rFonts w:ascii="Times New Roman" w:eastAsia="Times New Roman" w:hAnsi="Times New Roman" w:cs="Times New Roman"/>
                <w:b/>
                <w:bCs/>
                <w:kern w:val="0"/>
                <w14:ligatures w14:val="none"/>
              </w:rPr>
              <w:t>Trend</w:t>
            </w:r>
          </w:p>
        </w:tc>
      </w:tr>
      <w:tr w:rsidR="00E06D5E" w:rsidRPr="00E06D5E" w14:paraId="5388062B" w14:textId="77777777" w:rsidTr="00E06D5E">
        <w:trPr>
          <w:tblCellSpacing w:w="15" w:type="dxa"/>
        </w:trPr>
        <w:tc>
          <w:tcPr>
            <w:tcW w:w="0" w:type="auto"/>
            <w:vAlign w:val="center"/>
            <w:hideMark/>
          </w:tcPr>
          <w:p w14:paraId="23A2276A"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Avg Referral-to-Admission Time (</w:t>
            </w:r>
            <w:proofErr w:type="spellStart"/>
            <w:r w:rsidRPr="00E06D5E">
              <w:rPr>
                <w:rFonts w:ascii="Times New Roman" w:eastAsia="Times New Roman" w:hAnsi="Times New Roman" w:cs="Times New Roman"/>
                <w:kern w:val="0"/>
                <w14:ligatures w14:val="none"/>
              </w:rPr>
              <w:t>hrs</w:t>
            </w:r>
            <w:proofErr w:type="spellEnd"/>
            <w:r w:rsidRPr="00E06D5E">
              <w:rPr>
                <w:rFonts w:ascii="Times New Roman" w:eastAsia="Times New Roman" w:hAnsi="Times New Roman" w:cs="Times New Roman"/>
                <w:kern w:val="0"/>
                <w14:ligatures w14:val="none"/>
              </w:rPr>
              <w:t>)</w:t>
            </w:r>
          </w:p>
        </w:tc>
        <w:tc>
          <w:tcPr>
            <w:tcW w:w="0" w:type="auto"/>
            <w:vAlign w:val="center"/>
            <w:hideMark/>
          </w:tcPr>
          <w:p w14:paraId="1ECED105"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7F35798A"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84A356"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7AEBFE"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C2945"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 </w:t>
            </w:r>
            <w:r w:rsidRPr="00E06D5E">
              <w:rPr>
                <w:rFonts w:ascii="Apple Color Emoji" w:eastAsia="Times New Roman" w:hAnsi="Apple Color Emoji" w:cs="Apple Color Emoji"/>
                <w:kern w:val="0"/>
                <w14:ligatures w14:val="none"/>
              </w:rPr>
              <w:t>➖</w:t>
            </w:r>
          </w:p>
        </w:tc>
      </w:tr>
      <w:tr w:rsidR="00E06D5E" w:rsidRPr="00E06D5E" w14:paraId="3F732FE2" w14:textId="77777777" w:rsidTr="00E06D5E">
        <w:trPr>
          <w:tblCellSpacing w:w="15" w:type="dxa"/>
        </w:trPr>
        <w:tc>
          <w:tcPr>
            <w:tcW w:w="0" w:type="auto"/>
            <w:vAlign w:val="center"/>
            <w:hideMark/>
          </w:tcPr>
          <w:p w14:paraId="2461921D"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Referral Volume</w:t>
            </w:r>
          </w:p>
        </w:tc>
        <w:tc>
          <w:tcPr>
            <w:tcW w:w="0" w:type="auto"/>
            <w:vAlign w:val="center"/>
            <w:hideMark/>
          </w:tcPr>
          <w:p w14:paraId="4E2F2AFE"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02911E8E"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4DDD9E"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3BBA70"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6C2278"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r>
      <w:tr w:rsidR="00E06D5E" w:rsidRPr="00E06D5E" w14:paraId="492DA9D0" w14:textId="77777777" w:rsidTr="00E06D5E">
        <w:trPr>
          <w:tblCellSpacing w:w="15" w:type="dxa"/>
        </w:trPr>
        <w:tc>
          <w:tcPr>
            <w:tcW w:w="0" w:type="auto"/>
            <w:vAlign w:val="center"/>
            <w:hideMark/>
          </w:tcPr>
          <w:p w14:paraId="4100C638"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Conversion Rate</w:t>
            </w:r>
          </w:p>
        </w:tc>
        <w:tc>
          <w:tcPr>
            <w:tcW w:w="0" w:type="auto"/>
            <w:vAlign w:val="center"/>
            <w:hideMark/>
          </w:tcPr>
          <w:p w14:paraId="55C1395F"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70C2C1FB"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8BD88"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ABF447"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C73AF5"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r>
      <w:tr w:rsidR="00E06D5E" w:rsidRPr="00E06D5E" w14:paraId="38A102F9" w14:textId="77777777" w:rsidTr="00E06D5E">
        <w:trPr>
          <w:tblCellSpacing w:w="15" w:type="dxa"/>
        </w:trPr>
        <w:tc>
          <w:tcPr>
            <w:tcW w:w="0" w:type="auto"/>
            <w:vAlign w:val="center"/>
            <w:hideMark/>
          </w:tcPr>
          <w:p w14:paraId="77D85E1C"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Audit Compliance %</w:t>
            </w:r>
          </w:p>
        </w:tc>
        <w:tc>
          <w:tcPr>
            <w:tcW w:w="0" w:type="auto"/>
            <w:vAlign w:val="center"/>
            <w:hideMark/>
          </w:tcPr>
          <w:p w14:paraId="429F584D"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760B4CAC"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89665C"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28A545"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593DB4"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r>
      <w:tr w:rsidR="00E06D5E" w:rsidRPr="00E06D5E" w14:paraId="20FDDE54" w14:textId="77777777" w:rsidTr="00E06D5E">
        <w:trPr>
          <w:tblCellSpacing w:w="15" w:type="dxa"/>
        </w:trPr>
        <w:tc>
          <w:tcPr>
            <w:tcW w:w="0" w:type="auto"/>
            <w:vAlign w:val="center"/>
            <w:hideMark/>
          </w:tcPr>
          <w:p w14:paraId="13FBE978"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Denied Admissions (Process-Related)</w:t>
            </w:r>
          </w:p>
        </w:tc>
        <w:tc>
          <w:tcPr>
            <w:tcW w:w="0" w:type="auto"/>
            <w:vAlign w:val="center"/>
            <w:hideMark/>
          </w:tcPr>
          <w:p w14:paraId="4238605C"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07D57301"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9AF14"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AE5134"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6E27E8"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r>
      <w:tr w:rsidR="00E06D5E" w:rsidRPr="00E06D5E" w14:paraId="60A6672F" w14:textId="77777777" w:rsidTr="00E06D5E">
        <w:trPr>
          <w:tblCellSpacing w:w="15" w:type="dxa"/>
        </w:trPr>
        <w:tc>
          <w:tcPr>
            <w:tcW w:w="0" w:type="auto"/>
            <w:vAlign w:val="center"/>
            <w:hideMark/>
          </w:tcPr>
          <w:p w14:paraId="4646F756"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Patient Satisfaction (% favorable)</w:t>
            </w:r>
          </w:p>
        </w:tc>
        <w:tc>
          <w:tcPr>
            <w:tcW w:w="0" w:type="auto"/>
            <w:vAlign w:val="center"/>
            <w:hideMark/>
          </w:tcPr>
          <w:p w14:paraId="2B8B6846"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1E2C0A97"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9F0F6F"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1FE13A"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1047FC"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r>
      <w:tr w:rsidR="00E06D5E" w:rsidRPr="00E06D5E" w14:paraId="7DB2A3F3" w14:textId="77777777" w:rsidTr="00E06D5E">
        <w:trPr>
          <w:tblCellSpacing w:w="15" w:type="dxa"/>
        </w:trPr>
        <w:tc>
          <w:tcPr>
            <w:tcW w:w="0" w:type="auto"/>
            <w:vAlign w:val="center"/>
            <w:hideMark/>
          </w:tcPr>
          <w:p w14:paraId="6AD171B4"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Referral Partner Retention Rate</w:t>
            </w:r>
          </w:p>
        </w:tc>
        <w:tc>
          <w:tcPr>
            <w:tcW w:w="0" w:type="auto"/>
            <w:vAlign w:val="center"/>
            <w:hideMark/>
          </w:tcPr>
          <w:p w14:paraId="0003FB5C"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33CE9A5E"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04C67E"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3F95DF"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654FC9"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r>
      <w:tr w:rsidR="00E06D5E" w:rsidRPr="00E06D5E" w14:paraId="0C0D067C" w14:textId="77777777" w:rsidTr="00E06D5E">
        <w:trPr>
          <w:tblCellSpacing w:w="15" w:type="dxa"/>
        </w:trPr>
        <w:tc>
          <w:tcPr>
            <w:tcW w:w="0" w:type="auto"/>
            <w:vAlign w:val="center"/>
            <w:hideMark/>
          </w:tcPr>
          <w:p w14:paraId="4948A646"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Staff Retention in Intake Roles</w:t>
            </w:r>
          </w:p>
        </w:tc>
        <w:tc>
          <w:tcPr>
            <w:tcW w:w="0" w:type="auto"/>
            <w:vAlign w:val="center"/>
            <w:hideMark/>
          </w:tcPr>
          <w:p w14:paraId="031FB528" w14:textId="77777777" w:rsidR="00E06D5E" w:rsidRPr="00E06D5E" w:rsidRDefault="00E06D5E" w:rsidP="00E06D5E">
            <w:pPr>
              <w:spacing w:after="0" w:line="240" w:lineRule="auto"/>
              <w:rPr>
                <w:rFonts w:ascii="Times New Roman" w:eastAsia="Times New Roman" w:hAnsi="Times New Roman" w:cs="Times New Roman"/>
                <w:kern w:val="0"/>
                <w14:ligatures w14:val="none"/>
              </w:rPr>
            </w:pPr>
          </w:p>
        </w:tc>
        <w:tc>
          <w:tcPr>
            <w:tcW w:w="0" w:type="auto"/>
            <w:vAlign w:val="center"/>
            <w:hideMark/>
          </w:tcPr>
          <w:p w14:paraId="72757E52"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7BF1E0"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FADFF0"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DD18E" w14:textId="77777777" w:rsidR="00E06D5E" w:rsidRPr="00E06D5E" w:rsidRDefault="00E06D5E" w:rsidP="00E06D5E">
            <w:pPr>
              <w:spacing w:after="0" w:line="240" w:lineRule="auto"/>
              <w:rPr>
                <w:rFonts w:ascii="Times New Roman" w:eastAsia="Times New Roman" w:hAnsi="Times New Roman" w:cs="Times New Roman"/>
                <w:kern w:val="0"/>
                <w:sz w:val="20"/>
                <w:szCs w:val="20"/>
                <w14:ligatures w14:val="none"/>
              </w:rPr>
            </w:pPr>
          </w:p>
        </w:tc>
      </w:tr>
    </w:tbl>
    <w:p w14:paraId="6ABE8AFA" w14:textId="77777777" w:rsidR="00E06D5E" w:rsidRPr="00E06D5E" w:rsidRDefault="00E06D5E" w:rsidP="00E06D5E">
      <w:p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Times New Roman" w:eastAsia="Times New Roman" w:hAnsi="Times New Roman" w:cs="Times New Roman"/>
          <w:kern w:val="0"/>
          <w14:ligatures w14:val="none"/>
        </w:rPr>
        <w:t>Add color-coding for fast visualization:</w:t>
      </w:r>
    </w:p>
    <w:p w14:paraId="2AE6810C" w14:textId="77777777" w:rsidR="00E06D5E" w:rsidRPr="00E06D5E" w:rsidRDefault="00E06D5E" w:rsidP="00E06D5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Green = On Target</w:t>
      </w:r>
    </w:p>
    <w:p w14:paraId="67F1763C" w14:textId="77777777" w:rsidR="00E06D5E" w:rsidRPr="00E06D5E" w:rsidRDefault="00E06D5E" w:rsidP="00E06D5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Yellow = Caution</w:t>
      </w:r>
    </w:p>
    <w:p w14:paraId="3551C393" w14:textId="77777777" w:rsidR="00E06D5E" w:rsidRPr="00E06D5E" w:rsidRDefault="00E06D5E" w:rsidP="00E06D5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06D5E">
        <w:rPr>
          <w:rFonts w:ascii="Apple Color Emoji" w:eastAsia="Times New Roman" w:hAnsi="Apple Color Emoji" w:cs="Apple Color Emoji"/>
          <w:kern w:val="0"/>
          <w14:ligatures w14:val="none"/>
        </w:rPr>
        <w:t>🔴</w:t>
      </w:r>
      <w:r w:rsidRPr="00E06D5E">
        <w:rPr>
          <w:rFonts w:ascii="Times New Roman" w:eastAsia="Times New Roman" w:hAnsi="Times New Roman" w:cs="Times New Roman"/>
          <w:kern w:val="0"/>
          <w14:ligatures w14:val="none"/>
        </w:rPr>
        <w:t xml:space="preserve"> Red = Critical Attention Needed</w:t>
      </w:r>
    </w:p>
    <w:p w14:paraId="1CC8A7D6" w14:textId="77777777" w:rsidR="00E06D5E" w:rsidRPr="00E06D5E" w:rsidRDefault="0091137E" w:rsidP="00E0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680E1F">
          <v:rect id="_x0000_i1032" alt="" style="width:468pt;height:.05pt;mso-width-percent:0;mso-height-percent:0;mso-width-percent:0;mso-height-percent:0" o:hralign="center" o:hrstd="t" o:hr="t" fillcolor="#a0a0a0" stroked="f"/>
        </w:pict>
      </w:r>
    </w:p>
    <w:p w14:paraId="4F89569A" w14:textId="79165B9A" w:rsidR="00C37AD3" w:rsidRDefault="00C37AD3">
      <w:r>
        <w:br w:type="page"/>
      </w:r>
    </w:p>
    <w:p w14:paraId="726C1936" w14:textId="77777777" w:rsidR="00C37AD3" w:rsidRPr="00C37AD3" w:rsidRDefault="00C37AD3" w:rsidP="00C37A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AD3">
        <w:rPr>
          <w:rFonts w:ascii="Times New Roman" w:eastAsia="Times New Roman" w:hAnsi="Times New Roman" w:cs="Times New Roman"/>
          <w:b/>
          <w:bCs/>
          <w:kern w:val="0"/>
          <w:sz w:val="27"/>
          <w:szCs w:val="27"/>
          <w14:ligatures w14:val="none"/>
        </w:rPr>
        <w:lastRenderedPageBreak/>
        <w:t>What’s Potentially Missing or Could Be Strengthened:</w:t>
      </w:r>
    </w:p>
    <w:p w14:paraId="38103450" w14:textId="77777777" w:rsidR="00C37AD3" w:rsidRPr="00C37AD3" w:rsidRDefault="00C37AD3" w:rsidP="00C37A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7AD3">
        <w:rPr>
          <w:rFonts w:ascii="Times New Roman" w:eastAsia="Times New Roman" w:hAnsi="Times New Roman" w:cs="Times New Roman"/>
          <w:b/>
          <w:bCs/>
          <w:kern w:val="0"/>
          <w14:ligatures w14:val="none"/>
        </w:rPr>
        <w:t>1. Departmental Roles Beyond Intake Team</w:t>
      </w:r>
    </w:p>
    <w:p w14:paraId="60B3B91A" w14:textId="77777777" w:rsidR="00C37AD3" w:rsidRPr="00C37AD3" w:rsidRDefault="00C37AD3" w:rsidP="00C37AD3">
      <w:p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You’ve clearly defined the core intake roles (director, clinician, coordinator, business office), but the following key stakeholders could be incorporated more explicitly: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gridCol w:w="5425"/>
      </w:tblGrid>
      <w:tr w:rsidR="00C37AD3" w:rsidRPr="00C37AD3" w14:paraId="34F1D53F" w14:textId="77777777" w:rsidTr="00C37AD3">
        <w:trPr>
          <w:tblHeader/>
          <w:tblCellSpacing w:w="15" w:type="dxa"/>
        </w:trPr>
        <w:tc>
          <w:tcPr>
            <w:tcW w:w="0" w:type="auto"/>
            <w:vAlign w:val="center"/>
            <w:hideMark/>
          </w:tcPr>
          <w:p w14:paraId="69D104B1" w14:textId="77777777" w:rsidR="00C37AD3" w:rsidRPr="00C37AD3" w:rsidRDefault="00C37AD3" w:rsidP="00C37AD3">
            <w:pPr>
              <w:spacing w:after="0" w:line="240" w:lineRule="auto"/>
              <w:jc w:val="center"/>
              <w:rPr>
                <w:rFonts w:ascii="Times New Roman" w:eastAsia="Times New Roman" w:hAnsi="Times New Roman" w:cs="Times New Roman"/>
                <w:b/>
                <w:bCs/>
                <w:kern w:val="0"/>
                <w14:ligatures w14:val="none"/>
              </w:rPr>
            </w:pPr>
            <w:r w:rsidRPr="00C37AD3">
              <w:rPr>
                <w:rFonts w:ascii="Times New Roman" w:eastAsia="Times New Roman" w:hAnsi="Times New Roman" w:cs="Times New Roman"/>
                <w:b/>
                <w:bCs/>
                <w:kern w:val="0"/>
                <w14:ligatures w14:val="none"/>
              </w:rPr>
              <w:t>Department</w:t>
            </w:r>
          </w:p>
        </w:tc>
        <w:tc>
          <w:tcPr>
            <w:tcW w:w="0" w:type="auto"/>
            <w:vAlign w:val="center"/>
            <w:hideMark/>
          </w:tcPr>
          <w:p w14:paraId="12ADE9DF" w14:textId="77777777" w:rsidR="00C37AD3" w:rsidRPr="00C37AD3" w:rsidRDefault="00C37AD3" w:rsidP="00C37AD3">
            <w:pPr>
              <w:spacing w:after="0" w:line="240" w:lineRule="auto"/>
              <w:jc w:val="center"/>
              <w:rPr>
                <w:rFonts w:ascii="Times New Roman" w:eastAsia="Times New Roman" w:hAnsi="Times New Roman" w:cs="Times New Roman"/>
                <w:b/>
                <w:bCs/>
                <w:kern w:val="0"/>
                <w14:ligatures w14:val="none"/>
              </w:rPr>
            </w:pPr>
            <w:r w:rsidRPr="00C37AD3">
              <w:rPr>
                <w:rFonts w:ascii="Times New Roman" w:eastAsia="Times New Roman" w:hAnsi="Times New Roman" w:cs="Times New Roman"/>
                <w:b/>
                <w:bCs/>
                <w:kern w:val="0"/>
                <w14:ligatures w14:val="none"/>
              </w:rPr>
              <w:t>Role in Intake Process</w:t>
            </w:r>
          </w:p>
        </w:tc>
      </w:tr>
      <w:tr w:rsidR="00C37AD3" w:rsidRPr="00C37AD3" w14:paraId="494CF519" w14:textId="77777777" w:rsidTr="00C37AD3">
        <w:trPr>
          <w:tblCellSpacing w:w="15" w:type="dxa"/>
        </w:trPr>
        <w:tc>
          <w:tcPr>
            <w:tcW w:w="0" w:type="auto"/>
            <w:vAlign w:val="center"/>
            <w:hideMark/>
          </w:tcPr>
          <w:p w14:paraId="3C8EA56F"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b/>
                <w:bCs/>
                <w:kern w:val="0"/>
                <w14:ligatures w14:val="none"/>
              </w:rPr>
              <w:t>Clinical Services (Nursing, Psychiatry)</w:t>
            </w:r>
          </w:p>
        </w:tc>
        <w:tc>
          <w:tcPr>
            <w:tcW w:w="0" w:type="auto"/>
            <w:vAlign w:val="center"/>
            <w:hideMark/>
          </w:tcPr>
          <w:p w14:paraId="476D5B1B"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Supports prescreening, medical clearance, and admission handoff</w:t>
            </w:r>
          </w:p>
        </w:tc>
      </w:tr>
      <w:tr w:rsidR="00C37AD3" w:rsidRPr="00C37AD3" w14:paraId="646B940F" w14:textId="77777777" w:rsidTr="00C37AD3">
        <w:trPr>
          <w:tblCellSpacing w:w="15" w:type="dxa"/>
        </w:trPr>
        <w:tc>
          <w:tcPr>
            <w:tcW w:w="0" w:type="auto"/>
            <w:vAlign w:val="center"/>
            <w:hideMark/>
          </w:tcPr>
          <w:p w14:paraId="28639534"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b/>
                <w:bCs/>
                <w:kern w:val="0"/>
                <w14:ligatures w14:val="none"/>
              </w:rPr>
              <w:t>Transportation/Logistics</w:t>
            </w:r>
          </w:p>
        </w:tc>
        <w:tc>
          <w:tcPr>
            <w:tcW w:w="0" w:type="auto"/>
            <w:vAlign w:val="center"/>
            <w:hideMark/>
          </w:tcPr>
          <w:p w14:paraId="0F5FAC8F"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Critical for reducing lost admissions and delays</w:t>
            </w:r>
          </w:p>
        </w:tc>
      </w:tr>
      <w:tr w:rsidR="00C37AD3" w:rsidRPr="00C37AD3" w14:paraId="1FD84D63" w14:textId="77777777" w:rsidTr="00C37AD3">
        <w:trPr>
          <w:tblCellSpacing w:w="15" w:type="dxa"/>
        </w:trPr>
        <w:tc>
          <w:tcPr>
            <w:tcW w:w="0" w:type="auto"/>
            <w:vAlign w:val="center"/>
            <w:hideMark/>
          </w:tcPr>
          <w:p w14:paraId="0E1BE070"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b/>
                <w:bCs/>
                <w:kern w:val="0"/>
                <w14:ligatures w14:val="none"/>
              </w:rPr>
              <w:t>IT / EHR Support</w:t>
            </w:r>
          </w:p>
        </w:tc>
        <w:tc>
          <w:tcPr>
            <w:tcW w:w="0" w:type="auto"/>
            <w:vAlign w:val="center"/>
            <w:hideMark/>
          </w:tcPr>
          <w:p w14:paraId="5E7DEC1F"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Ensures documentation workflows, forms, and flags function correctly</w:t>
            </w:r>
          </w:p>
        </w:tc>
      </w:tr>
      <w:tr w:rsidR="00C37AD3" w:rsidRPr="00C37AD3" w14:paraId="76BD2494" w14:textId="77777777" w:rsidTr="00C37AD3">
        <w:trPr>
          <w:tblCellSpacing w:w="15" w:type="dxa"/>
        </w:trPr>
        <w:tc>
          <w:tcPr>
            <w:tcW w:w="0" w:type="auto"/>
            <w:vAlign w:val="center"/>
            <w:hideMark/>
          </w:tcPr>
          <w:p w14:paraId="481D8690"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b/>
                <w:bCs/>
                <w:kern w:val="0"/>
                <w14:ligatures w14:val="none"/>
              </w:rPr>
              <w:t>Compliance / Quality Department</w:t>
            </w:r>
          </w:p>
        </w:tc>
        <w:tc>
          <w:tcPr>
            <w:tcW w:w="0" w:type="auto"/>
            <w:vAlign w:val="center"/>
            <w:hideMark/>
          </w:tcPr>
          <w:p w14:paraId="2FC0139C"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Conducts audits, provides policy updates, ensures training alignment</w:t>
            </w:r>
          </w:p>
        </w:tc>
      </w:tr>
      <w:tr w:rsidR="00C37AD3" w:rsidRPr="00C37AD3" w14:paraId="3441F358" w14:textId="77777777" w:rsidTr="00C37AD3">
        <w:trPr>
          <w:tblCellSpacing w:w="15" w:type="dxa"/>
        </w:trPr>
        <w:tc>
          <w:tcPr>
            <w:tcW w:w="0" w:type="auto"/>
            <w:vAlign w:val="center"/>
            <w:hideMark/>
          </w:tcPr>
          <w:p w14:paraId="51314AF5"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b/>
                <w:bCs/>
                <w:kern w:val="0"/>
                <w14:ligatures w14:val="none"/>
              </w:rPr>
              <w:t>Marketing / Service Development</w:t>
            </w:r>
          </w:p>
        </w:tc>
        <w:tc>
          <w:tcPr>
            <w:tcW w:w="0" w:type="auto"/>
            <w:vAlign w:val="center"/>
            <w:hideMark/>
          </w:tcPr>
          <w:p w14:paraId="6B158952"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Manages external referral relationships and brand perception</w:t>
            </w:r>
          </w:p>
        </w:tc>
      </w:tr>
      <w:tr w:rsidR="00C37AD3" w:rsidRPr="00C37AD3" w14:paraId="79885BBD" w14:textId="77777777" w:rsidTr="00C37AD3">
        <w:trPr>
          <w:tblCellSpacing w:w="15" w:type="dxa"/>
        </w:trPr>
        <w:tc>
          <w:tcPr>
            <w:tcW w:w="0" w:type="auto"/>
            <w:vAlign w:val="center"/>
            <w:hideMark/>
          </w:tcPr>
          <w:p w14:paraId="612147AA"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b/>
                <w:bCs/>
                <w:kern w:val="0"/>
                <w14:ligatures w14:val="none"/>
              </w:rPr>
              <w:t>Utilization Review (UR) or Case Management</w:t>
            </w:r>
          </w:p>
        </w:tc>
        <w:tc>
          <w:tcPr>
            <w:tcW w:w="0" w:type="auto"/>
            <w:vAlign w:val="center"/>
            <w:hideMark/>
          </w:tcPr>
          <w:p w14:paraId="54C736A6" w14:textId="77777777" w:rsidR="00C37AD3" w:rsidRPr="00C37AD3" w:rsidRDefault="00C37AD3" w:rsidP="00C37AD3">
            <w:pPr>
              <w:spacing w:after="0"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 xml:space="preserve">Tracks clinical necessity, manages denials, and works with </w:t>
            </w:r>
            <w:proofErr w:type="gramStart"/>
            <w:r w:rsidRPr="00C37AD3">
              <w:rPr>
                <w:rFonts w:ascii="Times New Roman" w:eastAsia="Times New Roman" w:hAnsi="Times New Roman" w:cs="Times New Roman"/>
                <w:kern w:val="0"/>
                <w14:ligatures w14:val="none"/>
              </w:rPr>
              <w:t>payers</w:t>
            </w:r>
            <w:proofErr w:type="gramEnd"/>
            <w:r w:rsidRPr="00C37AD3">
              <w:rPr>
                <w:rFonts w:ascii="Times New Roman" w:eastAsia="Times New Roman" w:hAnsi="Times New Roman" w:cs="Times New Roman"/>
                <w:kern w:val="0"/>
                <w14:ligatures w14:val="none"/>
              </w:rPr>
              <w:t xml:space="preserve"> post-admission</w:t>
            </w:r>
          </w:p>
        </w:tc>
      </w:tr>
    </w:tbl>
    <w:p w14:paraId="7F344EE7" w14:textId="77777777" w:rsidR="00C37AD3" w:rsidRPr="00C37AD3" w:rsidRDefault="0091137E" w:rsidP="00C37AD3">
      <w:pPr>
        <w:spacing w:after="0" w:line="240" w:lineRule="auto"/>
        <w:rPr>
          <w:rFonts w:ascii="Times New Roman" w:eastAsia="Times New Roman" w:hAnsi="Times New Roman" w:cs="Times New Roman"/>
          <w:kern w:val="0"/>
          <w14:ligatures w14:val="none"/>
        </w:rPr>
      </w:pPr>
      <w:r w:rsidRPr="0091137E">
        <w:rPr>
          <w:rFonts w:ascii="Times New Roman" w:eastAsia="Times New Roman" w:hAnsi="Times New Roman" w:cs="Times New Roman"/>
          <w:noProof/>
          <w:kern w:val="0"/>
        </w:rPr>
        <w:pict w14:anchorId="4BF08DDD">
          <v:rect id="_x0000_i1031" alt="" style="width:468pt;height:.05pt;mso-width-percent:0;mso-height-percent:0;mso-width-percent:0;mso-height-percent:0" o:hralign="center" o:hrstd="t" o:hr="t" fillcolor="#a0a0a0" stroked="f"/>
        </w:pict>
      </w:r>
    </w:p>
    <w:p w14:paraId="14C3EDAE" w14:textId="77777777" w:rsidR="00C37AD3" w:rsidRPr="00C37AD3" w:rsidRDefault="00C37AD3" w:rsidP="00C37A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7AD3">
        <w:rPr>
          <w:rFonts w:ascii="Times New Roman" w:eastAsia="Times New Roman" w:hAnsi="Times New Roman" w:cs="Times New Roman"/>
          <w:b/>
          <w:bCs/>
          <w:kern w:val="0"/>
          <w14:ligatures w14:val="none"/>
        </w:rPr>
        <w:t>2. Integration With Technology / CRM</w:t>
      </w:r>
    </w:p>
    <w:p w14:paraId="3B81E622" w14:textId="77777777" w:rsidR="00C37AD3" w:rsidRPr="00C37AD3" w:rsidRDefault="00C37AD3" w:rsidP="00C37AD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 xml:space="preserve">While documentation and tracking are referenced, there is little mention of </w:t>
      </w:r>
      <w:r w:rsidRPr="00C37AD3">
        <w:rPr>
          <w:rFonts w:ascii="Times New Roman" w:eastAsia="Times New Roman" w:hAnsi="Times New Roman" w:cs="Times New Roman"/>
          <w:b/>
          <w:bCs/>
          <w:kern w:val="0"/>
          <w14:ligatures w14:val="none"/>
        </w:rPr>
        <w:t>systems used</w:t>
      </w:r>
      <w:r w:rsidRPr="00C37AD3">
        <w:rPr>
          <w:rFonts w:ascii="Times New Roman" w:eastAsia="Times New Roman" w:hAnsi="Times New Roman" w:cs="Times New Roman"/>
          <w:kern w:val="0"/>
          <w14:ligatures w14:val="none"/>
        </w:rPr>
        <w:t xml:space="preserve"> (EHR, intake CRM, dashboards).</w:t>
      </w:r>
    </w:p>
    <w:p w14:paraId="0166697E" w14:textId="77777777" w:rsidR="00C37AD3" w:rsidRPr="00C37AD3" w:rsidRDefault="00C37AD3" w:rsidP="00C37AD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 xml:space="preserve">Recommend including a </w:t>
      </w:r>
      <w:r w:rsidRPr="00C37AD3">
        <w:rPr>
          <w:rFonts w:ascii="Times New Roman" w:eastAsia="Times New Roman" w:hAnsi="Times New Roman" w:cs="Times New Roman"/>
          <w:b/>
          <w:bCs/>
          <w:kern w:val="0"/>
          <w14:ligatures w14:val="none"/>
        </w:rPr>
        <w:t>Technology &amp; Tools Appendix</w:t>
      </w:r>
      <w:r w:rsidRPr="00C37AD3">
        <w:rPr>
          <w:rFonts w:ascii="Times New Roman" w:eastAsia="Times New Roman" w:hAnsi="Times New Roman" w:cs="Times New Roman"/>
          <w:kern w:val="0"/>
          <w14:ligatures w14:val="none"/>
        </w:rPr>
        <w:t xml:space="preserve"> that specifies:</w:t>
      </w:r>
    </w:p>
    <w:p w14:paraId="50E9B0A8" w14:textId="77777777" w:rsidR="00C37AD3" w:rsidRPr="00C37AD3" w:rsidRDefault="00C37AD3" w:rsidP="00C37AD3">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 xml:space="preserve">Intake form system (e.g., Salesforce Health Cloud, </w:t>
      </w:r>
      <w:proofErr w:type="spellStart"/>
      <w:r w:rsidRPr="00C37AD3">
        <w:rPr>
          <w:rFonts w:ascii="Times New Roman" w:eastAsia="Times New Roman" w:hAnsi="Times New Roman" w:cs="Times New Roman"/>
          <w:kern w:val="0"/>
          <w14:ligatures w14:val="none"/>
        </w:rPr>
        <w:t>Qualifacts</w:t>
      </w:r>
      <w:proofErr w:type="spellEnd"/>
      <w:r w:rsidRPr="00C37AD3">
        <w:rPr>
          <w:rFonts w:ascii="Times New Roman" w:eastAsia="Times New Roman" w:hAnsi="Times New Roman" w:cs="Times New Roman"/>
          <w:kern w:val="0"/>
          <w14:ligatures w14:val="none"/>
        </w:rPr>
        <w:t>, Kipu, etc.)</w:t>
      </w:r>
    </w:p>
    <w:p w14:paraId="302B0B7A" w14:textId="77777777" w:rsidR="00C37AD3" w:rsidRPr="00C37AD3" w:rsidRDefault="00C37AD3" w:rsidP="00C37AD3">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Where and how intake notes are stored</w:t>
      </w:r>
    </w:p>
    <w:p w14:paraId="7E642294" w14:textId="77777777" w:rsidR="00C37AD3" w:rsidRPr="00C37AD3" w:rsidRDefault="00C37AD3" w:rsidP="00C37AD3">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Dashboard platform used for real-time monitoring</w:t>
      </w:r>
    </w:p>
    <w:p w14:paraId="628F911B" w14:textId="77777777" w:rsidR="00C37AD3" w:rsidRPr="00C37AD3" w:rsidRDefault="0091137E" w:rsidP="00C37AD3">
      <w:pPr>
        <w:spacing w:after="0" w:line="240" w:lineRule="auto"/>
        <w:rPr>
          <w:rFonts w:ascii="Times New Roman" w:eastAsia="Times New Roman" w:hAnsi="Times New Roman" w:cs="Times New Roman"/>
          <w:kern w:val="0"/>
          <w14:ligatures w14:val="none"/>
        </w:rPr>
      </w:pPr>
      <w:r w:rsidRPr="0091137E">
        <w:rPr>
          <w:rFonts w:ascii="Times New Roman" w:eastAsia="Times New Roman" w:hAnsi="Times New Roman" w:cs="Times New Roman"/>
          <w:noProof/>
          <w:kern w:val="0"/>
        </w:rPr>
        <w:pict w14:anchorId="667F4354">
          <v:rect id="_x0000_i1030" alt="" style="width:468pt;height:.05pt;mso-width-percent:0;mso-height-percent:0;mso-width-percent:0;mso-height-percent:0" o:hralign="center" o:hrstd="t" o:hr="t" fillcolor="#a0a0a0" stroked="f"/>
        </w:pict>
      </w:r>
    </w:p>
    <w:p w14:paraId="38BEB710" w14:textId="77777777" w:rsidR="00C37AD3" w:rsidRPr="00C37AD3" w:rsidRDefault="00C37AD3" w:rsidP="00C37A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7AD3">
        <w:rPr>
          <w:rFonts w:ascii="Times New Roman" w:eastAsia="Times New Roman" w:hAnsi="Times New Roman" w:cs="Times New Roman"/>
          <w:b/>
          <w:bCs/>
          <w:kern w:val="0"/>
          <w14:ligatures w14:val="none"/>
        </w:rPr>
        <w:t>3. Escalation Protocols</w:t>
      </w:r>
    </w:p>
    <w:p w14:paraId="0781BD21" w14:textId="77777777" w:rsidR="00C37AD3" w:rsidRPr="00C37AD3" w:rsidRDefault="00C37AD3" w:rsidP="00C37AD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What happens when a referral is delayed, a transport is missed, or legal forms are incomplete?</w:t>
      </w:r>
    </w:p>
    <w:p w14:paraId="17414613" w14:textId="77777777" w:rsidR="00C37AD3" w:rsidRPr="00C37AD3" w:rsidRDefault="00C37AD3" w:rsidP="00C37AD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 xml:space="preserve">Recommend adding a short </w:t>
      </w:r>
      <w:r w:rsidRPr="00C37AD3">
        <w:rPr>
          <w:rFonts w:ascii="Times New Roman" w:eastAsia="Times New Roman" w:hAnsi="Times New Roman" w:cs="Times New Roman"/>
          <w:b/>
          <w:bCs/>
          <w:kern w:val="0"/>
          <w14:ligatures w14:val="none"/>
        </w:rPr>
        <w:t>"Failure Protocol or Escalation Matrix"</w:t>
      </w:r>
      <w:r w:rsidRPr="00C37AD3">
        <w:rPr>
          <w:rFonts w:ascii="Times New Roman" w:eastAsia="Times New Roman" w:hAnsi="Times New Roman" w:cs="Times New Roman"/>
          <w:kern w:val="0"/>
          <w14:ligatures w14:val="none"/>
        </w:rPr>
        <w:t>:</w:t>
      </w:r>
    </w:p>
    <w:p w14:paraId="3E2A0B63" w14:textId="77777777" w:rsidR="00C37AD3" w:rsidRPr="00C37AD3" w:rsidRDefault="00C37AD3" w:rsidP="00C37AD3">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E.g., &gt;2-hour delay = notify Intake Director and Transport Lead</w:t>
      </w:r>
    </w:p>
    <w:p w14:paraId="6E03AF8D" w14:textId="77777777" w:rsidR="00C37AD3" w:rsidRPr="00C37AD3" w:rsidRDefault="00C37AD3" w:rsidP="00C37AD3">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No nurse available = escalate to Clinical Supervisor</w:t>
      </w:r>
    </w:p>
    <w:p w14:paraId="1E72A538" w14:textId="77777777" w:rsidR="00C37AD3" w:rsidRPr="00C37AD3" w:rsidRDefault="00C37AD3" w:rsidP="00C37AD3">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Referral denial due to paperwork = call SDR to intervene and re-engage referrer</w:t>
      </w:r>
    </w:p>
    <w:p w14:paraId="2F390586" w14:textId="77777777" w:rsidR="00C37AD3" w:rsidRPr="00C37AD3" w:rsidRDefault="0091137E" w:rsidP="00C37AD3">
      <w:pPr>
        <w:spacing w:after="0" w:line="240" w:lineRule="auto"/>
        <w:rPr>
          <w:rFonts w:ascii="Times New Roman" w:eastAsia="Times New Roman" w:hAnsi="Times New Roman" w:cs="Times New Roman"/>
          <w:kern w:val="0"/>
          <w14:ligatures w14:val="none"/>
        </w:rPr>
      </w:pPr>
      <w:r w:rsidRPr="0091137E">
        <w:rPr>
          <w:rFonts w:ascii="Times New Roman" w:eastAsia="Times New Roman" w:hAnsi="Times New Roman" w:cs="Times New Roman"/>
          <w:noProof/>
          <w:kern w:val="0"/>
        </w:rPr>
        <w:pict w14:anchorId="3B46EADF">
          <v:rect id="_x0000_i1029" alt="" style="width:468pt;height:.05pt;mso-width-percent:0;mso-height-percent:0;mso-width-percent:0;mso-height-percent:0" o:hralign="center" o:hrstd="t" o:hr="t" fillcolor="#a0a0a0" stroked="f"/>
        </w:pict>
      </w:r>
    </w:p>
    <w:p w14:paraId="0D0ED249" w14:textId="77777777" w:rsidR="00C37AD3" w:rsidRDefault="00C37AD3">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3995B7A7" w14:textId="6C978D26" w:rsidR="00C37AD3" w:rsidRPr="00C37AD3" w:rsidRDefault="00C37AD3" w:rsidP="00C37A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7AD3">
        <w:rPr>
          <w:rFonts w:ascii="Times New Roman" w:eastAsia="Times New Roman" w:hAnsi="Times New Roman" w:cs="Times New Roman"/>
          <w:b/>
          <w:bCs/>
          <w:kern w:val="0"/>
          <w14:ligatures w14:val="none"/>
        </w:rPr>
        <w:lastRenderedPageBreak/>
        <w:t>4. DEI &amp; Health Equity Language</w:t>
      </w:r>
    </w:p>
    <w:p w14:paraId="3FB35091" w14:textId="77777777" w:rsidR="00C37AD3" w:rsidRPr="00C37AD3" w:rsidRDefault="00C37AD3" w:rsidP="00C37AD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Consider adding a short statement or section that references culturally competent care, language accessibility, and disability inclusion within intake processes (e.g., access to translators, ADA room preferences, LGBTQ+ sensitivity during placement).</w:t>
      </w:r>
    </w:p>
    <w:p w14:paraId="5D26AEC7" w14:textId="77777777" w:rsidR="00C37AD3" w:rsidRPr="00C37AD3" w:rsidRDefault="0091137E" w:rsidP="00C37AD3">
      <w:pPr>
        <w:spacing w:after="0" w:line="240" w:lineRule="auto"/>
        <w:rPr>
          <w:rFonts w:ascii="Times New Roman" w:eastAsia="Times New Roman" w:hAnsi="Times New Roman" w:cs="Times New Roman"/>
          <w:kern w:val="0"/>
          <w14:ligatures w14:val="none"/>
        </w:rPr>
      </w:pPr>
      <w:r w:rsidRPr="0091137E">
        <w:rPr>
          <w:rFonts w:ascii="Times New Roman" w:eastAsia="Times New Roman" w:hAnsi="Times New Roman" w:cs="Times New Roman"/>
          <w:noProof/>
          <w:kern w:val="0"/>
        </w:rPr>
        <w:pict w14:anchorId="2AAD426E">
          <v:rect id="_x0000_i1028" alt="" style="width:468pt;height:.05pt;mso-width-percent:0;mso-height-percent:0;mso-width-percent:0;mso-height-percent:0" o:hralign="center" o:hrstd="t" o:hr="t" fillcolor="#a0a0a0" stroked="f"/>
        </w:pict>
      </w:r>
    </w:p>
    <w:p w14:paraId="300BFBE9" w14:textId="77777777" w:rsidR="00C37AD3" w:rsidRPr="00C37AD3" w:rsidRDefault="00C37AD3" w:rsidP="00C37A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7AD3">
        <w:rPr>
          <w:rFonts w:ascii="Times New Roman" w:eastAsia="Times New Roman" w:hAnsi="Times New Roman" w:cs="Times New Roman"/>
          <w:b/>
          <w:bCs/>
          <w:kern w:val="0"/>
          <w14:ligatures w14:val="none"/>
        </w:rPr>
        <w:t>5. Standard Form Library</w:t>
      </w:r>
    </w:p>
    <w:p w14:paraId="56CBD789" w14:textId="77777777" w:rsidR="00C37AD3" w:rsidRPr="00C37AD3" w:rsidRDefault="00C37AD3" w:rsidP="00C37AD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 xml:space="preserve">Reference a </w:t>
      </w:r>
      <w:r w:rsidRPr="00C37AD3">
        <w:rPr>
          <w:rFonts w:ascii="Times New Roman" w:eastAsia="Times New Roman" w:hAnsi="Times New Roman" w:cs="Times New Roman"/>
          <w:b/>
          <w:bCs/>
          <w:kern w:val="0"/>
          <w14:ligatures w14:val="none"/>
        </w:rPr>
        <w:t>Centralized Forms Repository</w:t>
      </w:r>
      <w:r w:rsidRPr="00C37AD3">
        <w:rPr>
          <w:rFonts w:ascii="Times New Roman" w:eastAsia="Times New Roman" w:hAnsi="Times New Roman" w:cs="Times New Roman"/>
          <w:kern w:val="0"/>
          <w14:ligatures w14:val="none"/>
        </w:rPr>
        <w:t xml:space="preserve"> (even if not attached), including:</w:t>
      </w:r>
    </w:p>
    <w:p w14:paraId="65187DF5" w14:textId="77777777" w:rsidR="00C37AD3" w:rsidRPr="00C37AD3" w:rsidRDefault="00C37AD3" w:rsidP="00C37AD3">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Inquiry Form Template</w:t>
      </w:r>
    </w:p>
    <w:p w14:paraId="77A4FC03" w14:textId="77777777" w:rsidR="00C37AD3" w:rsidRPr="00C37AD3" w:rsidRDefault="00C37AD3" w:rsidP="00C37AD3">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Risk Screening Template</w:t>
      </w:r>
    </w:p>
    <w:p w14:paraId="0F650165" w14:textId="77777777" w:rsidR="00C37AD3" w:rsidRPr="00C37AD3" w:rsidRDefault="00C37AD3" w:rsidP="00C37AD3">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Legal Status Tracking Sheet</w:t>
      </w:r>
    </w:p>
    <w:p w14:paraId="30F32E5F" w14:textId="77777777" w:rsidR="00C37AD3" w:rsidRPr="00C37AD3" w:rsidRDefault="00C37AD3" w:rsidP="00C37AD3">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Insurance Verification Checklist</w:t>
      </w:r>
    </w:p>
    <w:p w14:paraId="7C46D291" w14:textId="77777777" w:rsidR="00C37AD3" w:rsidRPr="00C37AD3" w:rsidRDefault="00C37AD3" w:rsidP="00C37AD3">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Intake Audit Tool (for Section 7’s monthly audit process)</w:t>
      </w:r>
    </w:p>
    <w:p w14:paraId="4408FFA2" w14:textId="77777777" w:rsidR="00C37AD3" w:rsidRPr="00C37AD3" w:rsidRDefault="0091137E" w:rsidP="00C37AD3">
      <w:pPr>
        <w:spacing w:after="0" w:line="240" w:lineRule="auto"/>
        <w:rPr>
          <w:rFonts w:ascii="Times New Roman" w:eastAsia="Times New Roman" w:hAnsi="Times New Roman" w:cs="Times New Roman"/>
          <w:kern w:val="0"/>
          <w14:ligatures w14:val="none"/>
        </w:rPr>
      </w:pPr>
      <w:r w:rsidRPr="0091137E">
        <w:rPr>
          <w:rFonts w:ascii="Times New Roman" w:eastAsia="Times New Roman" w:hAnsi="Times New Roman" w:cs="Times New Roman"/>
          <w:noProof/>
          <w:kern w:val="0"/>
        </w:rPr>
        <w:pict w14:anchorId="53DA527F">
          <v:rect id="_x0000_i1027" alt="" style="width:468pt;height:.05pt;mso-width-percent:0;mso-height-percent:0;mso-width-percent:0;mso-height-percent:0" o:hralign="center" o:hrstd="t" o:hr="t" fillcolor="#a0a0a0" stroked="f"/>
        </w:pict>
      </w:r>
    </w:p>
    <w:p w14:paraId="2843C68A" w14:textId="77777777" w:rsidR="00C37AD3" w:rsidRPr="00C37AD3" w:rsidRDefault="00C37AD3" w:rsidP="00C37A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7AD3">
        <w:rPr>
          <w:rFonts w:ascii="Times New Roman" w:eastAsia="Times New Roman" w:hAnsi="Times New Roman" w:cs="Times New Roman"/>
          <w:b/>
          <w:bCs/>
          <w:kern w:val="0"/>
          <w14:ligatures w14:val="none"/>
        </w:rPr>
        <w:t>6. Communication Protocols</w:t>
      </w:r>
    </w:p>
    <w:p w14:paraId="4B246A0F" w14:textId="77777777" w:rsidR="00C37AD3" w:rsidRPr="00C37AD3" w:rsidRDefault="00C37AD3" w:rsidP="00C37AD3">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While huddles and team collaboration are mentioned, you could formalize:</w:t>
      </w:r>
    </w:p>
    <w:p w14:paraId="4F0597B1" w14:textId="77777777" w:rsidR="00C37AD3" w:rsidRPr="00C37AD3" w:rsidRDefault="00C37AD3" w:rsidP="00C37AD3">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b/>
          <w:bCs/>
          <w:kern w:val="0"/>
          <w14:ligatures w14:val="none"/>
        </w:rPr>
        <w:t>Daily “Command Center” Intake Update Script</w:t>
      </w:r>
    </w:p>
    <w:p w14:paraId="24993DC4" w14:textId="77777777" w:rsidR="00C37AD3" w:rsidRPr="00C37AD3" w:rsidRDefault="00C37AD3" w:rsidP="00C37AD3">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b/>
          <w:bCs/>
          <w:kern w:val="0"/>
          <w14:ligatures w14:val="none"/>
        </w:rPr>
        <w:t>Color-coded dashboard for bed status and escalation priority</w:t>
      </w:r>
    </w:p>
    <w:p w14:paraId="25E3413A" w14:textId="77777777" w:rsidR="00C37AD3" w:rsidRPr="00C37AD3" w:rsidRDefault="0091137E" w:rsidP="00C37AD3">
      <w:pPr>
        <w:spacing w:after="0" w:line="240" w:lineRule="auto"/>
        <w:rPr>
          <w:rFonts w:ascii="Times New Roman" w:eastAsia="Times New Roman" w:hAnsi="Times New Roman" w:cs="Times New Roman"/>
          <w:kern w:val="0"/>
          <w14:ligatures w14:val="none"/>
        </w:rPr>
      </w:pPr>
      <w:r w:rsidRPr="0091137E">
        <w:rPr>
          <w:rFonts w:ascii="Times New Roman" w:eastAsia="Times New Roman" w:hAnsi="Times New Roman" w:cs="Times New Roman"/>
          <w:noProof/>
          <w:kern w:val="0"/>
        </w:rPr>
        <w:pict w14:anchorId="799BB87C">
          <v:rect id="_x0000_i1026" alt="" style="width:468pt;height:.05pt;mso-width-percent:0;mso-height-percent:0;mso-width-percent:0;mso-height-percent:0" o:hralign="center" o:hrstd="t" o:hr="t" fillcolor="#a0a0a0" stroked="f"/>
        </w:pict>
      </w:r>
    </w:p>
    <w:p w14:paraId="1A4A0A51" w14:textId="77777777" w:rsidR="00C37AD3" w:rsidRPr="00C37AD3" w:rsidRDefault="00C37AD3" w:rsidP="00C37A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7AD3">
        <w:rPr>
          <w:rFonts w:ascii="Times New Roman" w:eastAsia="Times New Roman" w:hAnsi="Times New Roman" w:cs="Times New Roman"/>
          <w:b/>
          <w:bCs/>
          <w:kern w:val="0"/>
          <w14:ligatures w14:val="none"/>
        </w:rPr>
        <w:t>7. Disaster or Surge Plan</w:t>
      </w:r>
    </w:p>
    <w:p w14:paraId="257A7A67" w14:textId="77777777" w:rsidR="00C37AD3" w:rsidRPr="00C37AD3" w:rsidRDefault="00C37AD3" w:rsidP="00C37AD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What happens during intake surges (e.g., mass referrals after school incidents or public crises)?</w:t>
      </w:r>
    </w:p>
    <w:p w14:paraId="66B68500" w14:textId="77777777" w:rsidR="00C37AD3" w:rsidRPr="00C37AD3" w:rsidRDefault="00C37AD3" w:rsidP="00C37AD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 xml:space="preserve">Recommend brief mention of </w:t>
      </w:r>
      <w:r w:rsidRPr="00C37AD3">
        <w:rPr>
          <w:rFonts w:ascii="Times New Roman" w:eastAsia="Times New Roman" w:hAnsi="Times New Roman" w:cs="Times New Roman"/>
          <w:b/>
          <w:bCs/>
          <w:kern w:val="0"/>
          <w14:ligatures w14:val="none"/>
        </w:rPr>
        <w:t>“High-Volume Protocol”</w:t>
      </w:r>
      <w:r w:rsidRPr="00C37AD3">
        <w:rPr>
          <w:rFonts w:ascii="Times New Roman" w:eastAsia="Times New Roman" w:hAnsi="Times New Roman" w:cs="Times New Roman"/>
          <w:kern w:val="0"/>
          <w14:ligatures w14:val="none"/>
        </w:rPr>
        <w:t>:</w:t>
      </w:r>
    </w:p>
    <w:p w14:paraId="03194B10" w14:textId="77777777" w:rsidR="00C37AD3" w:rsidRPr="00C37AD3" w:rsidRDefault="00C37AD3" w:rsidP="00C37AD3">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Activate surge intake team</w:t>
      </w:r>
    </w:p>
    <w:p w14:paraId="7C61542A" w14:textId="77777777" w:rsidR="00C37AD3" w:rsidRPr="00C37AD3" w:rsidRDefault="00C37AD3" w:rsidP="00C37AD3">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Open standby units</w:t>
      </w:r>
    </w:p>
    <w:p w14:paraId="3CE6C7AC" w14:textId="77777777" w:rsidR="00C37AD3" w:rsidRPr="00C37AD3" w:rsidRDefault="00C37AD3" w:rsidP="00C37AD3">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Use tele-intake overflow team</w:t>
      </w:r>
    </w:p>
    <w:p w14:paraId="7C86D7FD" w14:textId="77777777" w:rsidR="00C37AD3" w:rsidRPr="00C37AD3" w:rsidRDefault="0091137E" w:rsidP="00C37AD3">
      <w:pPr>
        <w:spacing w:after="0" w:line="240" w:lineRule="auto"/>
        <w:rPr>
          <w:rFonts w:ascii="Times New Roman" w:eastAsia="Times New Roman" w:hAnsi="Times New Roman" w:cs="Times New Roman"/>
          <w:kern w:val="0"/>
          <w14:ligatures w14:val="none"/>
        </w:rPr>
      </w:pPr>
      <w:r w:rsidRPr="0091137E">
        <w:rPr>
          <w:rFonts w:ascii="Times New Roman" w:eastAsia="Times New Roman" w:hAnsi="Times New Roman" w:cs="Times New Roman"/>
          <w:noProof/>
          <w:kern w:val="0"/>
        </w:rPr>
        <w:pict w14:anchorId="660171E5">
          <v:rect id="_x0000_i1025" alt="" style="width:468pt;height:.05pt;mso-width-percent:0;mso-height-percent:0;mso-width-percent:0;mso-height-percent:0" o:hralign="center" o:hrstd="t" o:hr="t" fillcolor="#a0a0a0" stroked="f"/>
        </w:pict>
      </w:r>
    </w:p>
    <w:p w14:paraId="5C190230" w14:textId="77777777" w:rsidR="00C37AD3" w:rsidRPr="00C37AD3" w:rsidRDefault="00C37AD3" w:rsidP="00C37A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7AD3">
        <w:rPr>
          <w:rFonts w:ascii="Times New Roman" w:eastAsia="Times New Roman" w:hAnsi="Times New Roman" w:cs="Times New Roman"/>
          <w:b/>
          <w:bCs/>
          <w:kern w:val="0"/>
          <w14:ligatures w14:val="none"/>
        </w:rPr>
        <w:t>8. Payer-Specific Protocols</w:t>
      </w:r>
    </w:p>
    <w:p w14:paraId="4675E040" w14:textId="77777777" w:rsidR="00C37AD3" w:rsidRPr="00C37AD3" w:rsidRDefault="00C37AD3" w:rsidP="00C37AD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There is mention of benefit verification and financial risk, but not payer-specific variations.</w:t>
      </w:r>
    </w:p>
    <w:p w14:paraId="3328D7E9" w14:textId="77777777" w:rsidR="00C37AD3" w:rsidRPr="00C37AD3" w:rsidRDefault="00C37AD3" w:rsidP="00C37AD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kern w:val="0"/>
          <w14:ligatures w14:val="none"/>
        </w:rPr>
        <w:t>Consider including:</w:t>
      </w:r>
    </w:p>
    <w:p w14:paraId="40EFC542" w14:textId="77777777" w:rsidR="00C37AD3" w:rsidRPr="00C37AD3" w:rsidRDefault="00C37AD3" w:rsidP="00C37AD3">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b/>
          <w:bCs/>
          <w:kern w:val="0"/>
          <w14:ligatures w14:val="none"/>
        </w:rPr>
        <w:t>Top 3 Medicaid MCO quirks</w:t>
      </w:r>
      <w:r w:rsidRPr="00C37AD3">
        <w:rPr>
          <w:rFonts w:ascii="Times New Roman" w:eastAsia="Times New Roman" w:hAnsi="Times New Roman" w:cs="Times New Roman"/>
          <w:kern w:val="0"/>
          <w14:ligatures w14:val="none"/>
        </w:rPr>
        <w:t xml:space="preserve"> (e.g., referral auth language, denial timeframes)</w:t>
      </w:r>
    </w:p>
    <w:p w14:paraId="496F56FC" w14:textId="77777777" w:rsidR="00C37AD3" w:rsidRPr="00C37AD3" w:rsidRDefault="00C37AD3" w:rsidP="00C37AD3">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C37AD3">
        <w:rPr>
          <w:rFonts w:ascii="Times New Roman" w:eastAsia="Times New Roman" w:hAnsi="Times New Roman" w:cs="Times New Roman"/>
          <w:b/>
          <w:bCs/>
          <w:kern w:val="0"/>
          <w14:ligatures w14:val="none"/>
        </w:rPr>
        <w:t>Commercial payer intake flags</w:t>
      </w:r>
      <w:r w:rsidRPr="00C37AD3">
        <w:rPr>
          <w:rFonts w:ascii="Times New Roman" w:eastAsia="Times New Roman" w:hAnsi="Times New Roman" w:cs="Times New Roman"/>
          <w:kern w:val="0"/>
          <w14:ligatures w14:val="none"/>
        </w:rPr>
        <w:t xml:space="preserve"> (e.g., Aetna requires MD approval for IOP in 48 </w:t>
      </w:r>
      <w:proofErr w:type="spellStart"/>
      <w:r w:rsidRPr="00C37AD3">
        <w:rPr>
          <w:rFonts w:ascii="Times New Roman" w:eastAsia="Times New Roman" w:hAnsi="Times New Roman" w:cs="Times New Roman"/>
          <w:kern w:val="0"/>
          <w14:ligatures w14:val="none"/>
        </w:rPr>
        <w:t>hrs</w:t>
      </w:r>
      <w:proofErr w:type="spellEnd"/>
      <w:r w:rsidRPr="00C37AD3">
        <w:rPr>
          <w:rFonts w:ascii="Times New Roman" w:eastAsia="Times New Roman" w:hAnsi="Times New Roman" w:cs="Times New Roman"/>
          <w:kern w:val="0"/>
          <w14:ligatures w14:val="none"/>
        </w:rPr>
        <w:t>)</w:t>
      </w:r>
    </w:p>
    <w:p w14:paraId="4F68CB80" w14:textId="367255AD" w:rsidR="00C37AD3" w:rsidRPr="00C37AD3" w:rsidRDefault="00C37AD3" w:rsidP="00C37AD3">
      <w:pPr>
        <w:spacing w:after="0" w:line="240" w:lineRule="auto"/>
        <w:rPr>
          <w:rFonts w:ascii="Times New Roman" w:eastAsia="Times New Roman" w:hAnsi="Times New Roman" w:cs="Times New Roman"/>
          <w:kern w:val="0"/>
          <w14:ligatures w14:val="none"/>
        </w:rPr>
      </w:pPr>
    </w:p>
    <w:p w14:paraId="69C51249" w14:textId="77777777" w:rsidR="002C66EB" w:rsidRDefault="002C66EB"/>
    <w:sectPr w:rsidR="002C6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65E"/>
    <w:multiLevelType w:val="multilevel"/>
    <w:tmpl w:val="1D34C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17B6"/>
    <w:multiLevelType w:val="multilevel"/>
    <w:tmpl w:val="99AE5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60052"/>
    <w:multiLevelType w:val="multilevel"/>
    <w:tmpl w:val="DA16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1650A"/>
    <w:multiLevelType w:val="multilevel"/>
    <w:tmpl w:val="0FBCF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A53B5"/>
    <w:multiLevelType w:val="multilevel"/>
    <w:tmpl w:val="23E42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A18C3"/>
    <w:multiLevelType w:val="multilevel"/>
    <w:tmpl w:val="5712B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C18CD"/>
    <w:multiLevelType w:val="multilevel"/>
    <w:tmpl w:val="3CB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F3037"/>
    <w:multiLevelType w:val="multilevel"/>
    <w:tmpl w:val="F4AA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D724D"/>
    <w:multiLevelType w:val="multilevel"/>
    <w:tmpl w:val="9446C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12D2B"/>
    <w:multiLevelType w:val="multilevel"/>
    <w:tmpl w:val="1CE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57EDD"/>
    <w:multiLevelType w:val="multilevel"/>
    <w:tmpl w:val="6794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A1E3D"/>
    <w:multiLevelType w:val="multilevel"/>
    <w:tmpl w:val="95E60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8739A"/>
    <w:multiLevelType w:val="multilevel"/>
    <w:tmpl w:val="31A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578DD"/>
    <w:multiLevelType w:val="multilevel"/>
    <w:tmpl w:val="0F4E9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205B6"/>
    <w:multiLevelType w:val="multilevel"/>
    <w:tmpl w:val="A2D6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A2E91"/>
    <w:multiLevelType w:val="multilevel"/>
    <w:tmpl w:val="3424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06377"/>
    <w:multiLevelType w:val="multilevel"/>
    <w:tmpl w:val="27F6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A4546"/>
    <w:multiLevelType w:val="multilevel"/>
    <w:tmpl w:val="BA9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E2F3E"/>
    <w:multiLevelType w:val="multilevel"/>
    <w:tmpl w:val="4B4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97D7A"/>
    <w:multiLevelType w:val="multilevel"/>
    <w:tmpl w:val="F8D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F0618"/>
    <w:multiLevelType w:val="multilevel"/>
    <w:tmpl w:val="F01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430EE"/>
    <w:multiLevelType w:val="multilevel"/>
    <w:tmpl w:val="AA922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7A33C7"/>
    <w:multiLevelType w:val="multilevel"/>
    <w:tmpl w:val="4BB01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E5C3F"/>
    <w:multiLevelType w:val="multilevel"/>
    <w:tmpl w:val="2ED2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A42A5"/>
    <w:multiLevelType w:val="multilevel"/>
    <w:tmpl w:val="0B30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B0BF3"/>
    <w:multiLevelType w:val="multilevel"/>
    <w:tmpl w:val="245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0105E9"/>
    <w:multiLevelType w:val="multilevel"/>
    <w:tmpl w:val="E368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F84B62"/>
    <w:multiLevelType w:val="multilevel"/>
    <w:tmpl w:val="64F80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1C071D"/>
    <w:multiLevelType w:val="multilevel"/>
    <w:tmpl w:val="2E10A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51862"/>
    <w:multiLevelType w:val="multilevel"/>
    <w:tmpl w:val="5732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A870DD"/>
    <w:multiLevelType w:val="multilevel"/>
    <w:tmpl w:val="42BE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666FE"/>
    <w:multiLevelType w:val="multilevel"/>
    <w:tmpl w:val="C100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0CD8"/>
    <w:multiLevelType w:val="multilevel"/>
    <w:tmpl w:val="B56CA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019A4"/>
    <w:multiLevelType w:val="multilevel"/>
    <w:tmpl w:val="BE12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22A80"/>
    <w:multiLevelType w:val="multilevel"/>
    <w:tmpl w:val="46E8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1A779A"/>
    <w:multiLevelType w:val="multilevel"/>
    <w:tmpl w:val="585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340FD"/>
    <w:multiLevelType w:val="multilevel"/>
    <w:tmpl w:val="D5E07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D5A3D"/>
    <w:multiLevelType w:val="multilevel"/>
    <w:tmpl w:val="1C60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916CAA"/>
    <w:multiLevelType w:val="multilevel"/>
    <w:tmpl w:val="13DC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A4433A"/>
    <w:multiLevelType w:val="multilevel"/>
    <w:tmpl w:val="72D4D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02084"/>
    <w:multiLevelType w:val="multilevel"/>
    <w:tmpl w:val="27B83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57A1C"/>
    <w:multiLevelType w:val="multilevel"/>
    <w:tmpl w:val="C3D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5F0F62"/>
    <w:multiLevelType w:val="multilevel"/>
    <w:tmpl w:val="B91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9B1461"/>
    <w:multiLevelType w:val="multilevel"/>
    <w:tmpl w:val="24821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8D34A8"/>
    <w:multiLevelType w:val="multilevel"/>
    <w:tmpl w:val="9900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A7331B"/>
    <w:multiLevelType w:val="multilevel"/>
    <w:tmpl w:val="AD3A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A34B8A"/>
    <w:multiLevelType w:val="multilevel"/>
    <w:tmpl w:val="47A6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1851C2"/>
    <w:multiLevelType w:val="multilevel"/>
    <w:tmpl w:val="8EDA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D62E95"/>
    <w:multiLevelType w:val="multilevel"/>
    <w:tmpl w:val="6F04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8D658B"/>
    <w:multiLevelType w:val="multilevel"/>
    <w:tmpl w:val="AAA28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B3018A"/>
    <w:multiLevelType w:val="multilevel"/>
    <w:tmpl w:val="8DA2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8F7141"/>
    <w:multiLevelType w:val="multilevel"/>
    <w:tmpl w:val="56D8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1F2B84"/>
    <w:multiLevelType w:val="multilevel"/>
    <w:tmpl w:val="2B907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7F0982"/>
    <w:multiLevelType w:val="multilevel"/>
    <w:tmpl w:val="C306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214162"/>
    <w:multiLevelType w:val="multilevel"/>
    <w:tmpl w:val="3FC6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D5EAB"/>
    <w:multiLevelType w:val="multilevel"/>
    <w:tmpl w:val="277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513789"/>
    <w:multiLevelType w:val="multilevel"/>
    <w:tmpl w:val="775A4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582C2C"/>
    <w:multiLevelType w:val="multilevel"/>
    <w:tmpl w:val="8CD4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025F86"/>
    <w:multiLevelType w:val="multilevel"/>
    <w:tmpl w:val="D59E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670CBC"/>
    <w:multiLevelType w:val="multilevel"/>
    <w:tmpl w:val="8C0A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192A08"/>
    <w:multiLevelType w:val="multilevel"/>
    <w:tmpl w:val="757CA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392894"/>
    <w:multiLevelType w:val="multilevel"/>
    <w:tmpl w:val="01E0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746152"/>
    <w:multiLevelType w:val="multilevel"/>
    <w:tmpl w:val="A4281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C84F76"/>
    <w:multiLevelType w:val="multilevel"/>
    <w:tmpl w:val="6B8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3C3365"/>
    <w:multiLevelType w:val="multilevel"/>
    <w:tmpl w:val="B966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667E58"/>
    <w:multiLevelType w:val="multilevel"/>
    <w:tmpl w:val="811A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E75AB4"/>
    <w:multiLevelType w:val="multilevel"/>
    <w:tmpl w:val="EFD8F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0E1589"/>
    <w:multiLevelType w:val="multilevel"/>
    <w:tmpl w:val="B8E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60ACC"/>
    <w:multiLevelType w:val="multilevel"/>
    <w:tmpl w:val="CFB0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903156"/>
    <w:multiLevelType w:val="multilevel"/>
    <w:tmpl w:val="F6A85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0C0DB8"/>
    <w:multiLevelType w:val="multilevel"/>
    <w:tmpl w:val="FCD4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4915FD"/>
    <w:multiLevelType w:val="multilevel"/>
    <w:tmpl w:val="7B4E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DA32EA"/>
    <w:multiLevelType w:val="multilevel"/>
    <w:tmpl w:val="02C4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DD25BC"/>
    <w:multiLevelType w:val="multilevel"/>
    <w:tmpl w:val="8DAEB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6E3F74"/>
    <w:multiLevelType w:val="multilevel"/>
    <w:tmpl w:val="1B20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6B3991"/>
    <w:multiLevelType w:val="multilevel"/>
    <w:tmpl w:val="7EC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006F58"/>
    <w:multiLevelType w:val="multilevel"/>
    <w:tmpl w:val="8D7E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087B87"/>
    <w:multiLevelType w:val="multilevel"/>
    <w:tmpl w:val="74C05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D255E2"/>
    <w:multiLevelType w:val="multilevel"/>
    <w:tmpl w:val="2FF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9B4AA2"/>
    <w:multiLevelType w:val="multilevel"/>
    <w:tmpl w:val="B82C1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6111CF"/>
    <w:multiLevelType w:val="multilevel"/>
    <w:tmpl w:val="BFA80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830536">
    <w:abstractNumId w:val="61"/>
  </w:num>
  <w:num w:numId="2" w16cid:durableId="1212228536">
    <w:abstractNumId w:val="70"/>
  </w:num>
  <w:num w:numId="3" w16cid:durableId="225723684">
    <w:abstractNumId w:val="33"/>
  </w:num>
  <w:num w:numId="4" w16cid:durableId="1415660554">
    <w:abstractNumId w:val="38"/>
  </w:num>
  <w:num w:numId="5" w16cid:durableId="1676420839">
    <w:abstractNumId w:val="2"/>
  </w:num>
  <w:num w:numId="6" w16cid:durableId="1698921022">
    <w:abstractNumId w:val="19"/>
  </w:num>
  <w:num w:numId="7" w16cid:durableId="1070621295">
    <w:abstractNumId w:val="48"/>
  </w:num>
  <w:num w:numId="8" w16cid:durableId="1279995214">
    <w:abstractNumId w:val="3"/>
  </w:num>
  <w:num w:numId="9" w16cid:durableId="1476219998">
    <w:abstractNumId w:val="43"/>
  </w:num>
  <w:num w:numId="10" w16cid:durableId="1227110446">
    <w:abstractNumId w:val="52"/>
  </w:num>
  <w:num w:numId="11" w16cid:durableId="631178321">
    <w:abstractNumId w:val="75"/>
  </w:num>
  <w:num w:numId="12" w16cid:durableId="1418594384">
    <w:abstractNumId w:val="31"/>
  </w:num>
  <w:num w:numId="13" w16cid:durableId="455369366">
    <w:abstractNumId w:val="5"/>
  </w:num>
  <w:num w:numId="14" w16cid:durableId="1174342436">
    <w:abstractNumId w:val="56"/>
  </w:num>
  <w:num w:numId="15" w16cid:durableId="1598901785">
    <w:abstractNumId w:val="16"/>
  </w:num>
  <w:num w:numId="16" w16cid:durableId="1975989919">
    <w:abstractNumId w:val="64"/>
  </w:num>
  <w:num w:numId="17" w16cid:durableId="470441080">
    <w:abstractNumId w:val="20"/>
  </w:num>
  <w:num w:numId="18" w16cid:durableId="766081024">
    <w:abstractNumId w:val="41"/>
  </w:num>
  <w:num w:numId="19" w16cid:durableId="532351257">
    <w:abstractNumId w:val="78"/>
  </w:num>
  <w:num w:numId="20" w16cid:durableId="208734611">
    <w:abstractNumId w:val="17"/>
  </w:num>
  <w:num w:numId="21" w16cid:durableId="1975284040">
    <w:abstractNumId w:val="63"/>
  </w:num>
  <w:num w:numId="22" w16cid:durableId="1240560241">
    <w:abstractNumId w:val="26"/>
  </w:num>
  <w:num w:numId="23" w16cid:durableId="809058912">
    <w:abstractNumId w:val="29"/>
  </w:num>
  <w:num w:numId="24" w16cid:durableId="623460253">
    <w:abstractNumId w:val="23"/>
  </w:num>
  <w:num w:numId="25" w16cid:durableId="1408458649">
    <w:abstractNumId w:val="54"/>
  </w:num>
  <w:num w:numId="26" w16cid:durableId="491524633">
    <w:abstractNumId w:val="30"/>
  </w:num>
  <w:num w:numId="27" w16cid:durableId="1096484245">
    <w:abstractNumId w:val="12"/>
  </w:num>
  <w:num w:numId="28" w16cid:durableId="965892782">
    <w:abstractNumId w:val="51"/>
  </w:num>
  <w:num w:numId="29" w16cid:durableId="1978485865">
    <w:abstractNumId w:val="34"/>
  </w:num>
  <w:num w:numId="30" w16cid:durableId="1801260851">
    <w:abstractNumId w:val="28"/>
  </w:num>
  <w:num w:numId="31" w16cid:durableId="245043246">
    <w:abstractNumId w:val="32"/>
  </w:num>
  <w:num w:numId="32" w16cid:durableId="1702321903">
    <w:abstractNumId w:val="66"/>
  </w:num>
  <w:num w:numId="33" w16cid:durableId="38088149">
    <w:abstractNumId w:val="27"/>
  </w:num>
  <w:num w:numId="34" w16cid:durableId="91171969">
    <w:abstractNumId w:val="72"/>
  </w:num>
  <w:num w:numId="35" w16cid:durableId="1878159536">
    <w:abstractNumId w:val="8"/>
  </w:num>
  <w:num w:numId="36" w16cid:durableId="1013991250">
    <w:abstractNumId w:val="49"/>
  </w:num>
  <w:num w:numId="37" w16cid:durableId="360521931">
    <w:abstractNumId w:val="58"/>
  </w:num>
  <w:num w:numId="38" w16cid:durableId="598954462">
    <w:abstractNumId w:val="36"/>
  </w:num>
  <w:num w:numId="39" w16cid:durableId="2129273947">
    <w:abstractNumId w:val="4"/>
  </w:num>
  <w:num w:numId="40" w16cid:durableId="559173990">
    <w:abstractNumId w:val="0"/>
  </w:num>
  <w:num w:numId="41" w16cid:durableId="1021128767">
    <w:abstractNumId w:val="74"/>
  </w:num>
  <w:num w:numId="42" w16cid:durableId="2086299106">
    <w:abstractNumId w:val="13"/>
  </w:num>
  <w:num w:numId="43" w16cid:durableId="950017591">
    <w:abstractNumId w:val="47"/>
  </w:num>
  <w:num w:numId="44" w16cid:durableId="355467903">
    <w:abstractNumId w:val="50"/>
  </w:num>
  <w:num w:numId="45" w16cid:durableId="254755437">
    <w:abstractNumId w:val="59"/>
  </w:num>
  <w:num w:numId="46" w16cid:durableId="1605111984">
    <w:abstractNumId w:val="15"/>
  </w:num>
  <w:num w:numId="47" w16cid:durableId="30111071">
    <w:abstractNumId w:val="60"/>
  </w:num>
  <w:num w:numId="48" w16cid:durableId="1092167502">
    <w:abstractNumId w:val="6"/>
  </w:num>
  <w:num w:numId="49" w16cid:durableId="2068258480">
    <w:abstractNumId w:val="11"/>
  </w:num>
  <w:num w:numId="50" w16cid:durableId="763380167">
    <w:abstractNumId w:val="76"/>
  </w:num>
  <w:num w:numId="51" w16cid:durableId="351735244">
    <w:abstractNumId w:val="69"/>
  </w:num>
  <w:num w:numId="52" w16cid:durableId="1225947515">
    <w:abstractNumId w:val="80"/>
  </w:num>
  <w:num w:numId="53" w16cid:durableId="803885297">
    <w:abstractNumId w:val="21"/>
  </w:num>
  <w:num w:numId="54" w16cid:durableId="1333753949">
    <w:abstractNumId w:val="44"/>
  </w:num>
  <w:num w:numId="55" w16cid:durableId="988048966">
    <w:abstractNumId w:val="57"/>
  </w:num>
  <w:num w:numId="56" w16cid:durableId="1067144790">
    <w:abstractNumId w:val="42"/>
  </w:num>
  <w:num w:numId="57" w16cid:durableId="786461028">
    <w:abstractNumId w:val="68"/>
  </w:num>
  <w:num w:numId="58" w16cid:durableId="1809004832">
    <w:abstractNumId w:val="67"/>
  </w:num>
  <w:num w:numId="59" w16cid:durableId="1128666855">
    <w:abstractNumId w:val="46"/>
  </w:num>
  <w:num w:numId="60" w16cid:durableId="2144424158">
    <w:abstractNumId w:val="37"/>
  </w:num>
  <w:num w:numId="61" w16cid:durableId="2032560117">
    <w:abstractNumId w:val="25"/>
  </w:num>
  <w:num w:numId="62" w16cid:durableId="933561645">
    <w:abstractNumId w:val="65"/>
  </w:num>
  <w:num w:numId="63" w16cid:durableId="301233947">
    <w:abstractNumId w:val="45"/>
  </w:num>
  <w:num w:numId="64" w16cid:durableId="1717120762">
    <w:abstractNumId w:val="1"/>
  </w:num>
  <w:num w:numId="65" w16cid:durableId="813760765">
    <w:abstractNumId w:val="71"/>
  </w:num>
  <w:num w:numId="66" w16cid:durableId="218900373">
    <w:abstractNumId w:val="24"/>
  </w:num>
  <w:num w:numId="67" w16cid:durableId="747574415">
    <w:abstractNumId w:val="35"/>
  </w:num>
  <w:num w:numId="68" w16cid:durableId="1867911115">
    <w:abstractNumId w:val="73"/>
  </w:num>
  <w:num w:numId="69" w16cid:durableId="1409496959">
    <w:abstractNumId w:val="18"/>
  </w:num>
  <w:num w:numId="70" w16cid:durableId="728919123">
    <w:abstractNumId w:val="40"/>
  </w:num>
  <w:num w:numId="71" w16cid:durableId="1164004690">
    <w:abstractNumId w:val="10"/>
  </w:num>
  <w:num w:numId="72" w16cid:durableId="843545787">
    <w:abstractNumId w:val="7"/>
  </w:num>
  <w:num w:numId="73" w16cid:durableId="1602835716">
    <w:abstractNumId w:val="55"/>
  </w:num>
  <w:num w:numId="74" w16cid:durableId="245963736">
    <w:abstractNumId w:val="9"/>
  </w:num>
  <w:num w:numId="75" w16cid:durableId="1577787558">
    <w:abstractNumId w:val="79"/>
  </w:num>
  <w:num w:numId="76" w16cid:durableId="221210577">
    <w:abstractNumId w:val="39"/>
  </w:num>
  <w:num w:numId="77" w16cid:durableId="1400593948">
    <w:abstractNumId w:val="14"/>
  </w:num>
  <w:num w:numId="78" w16cid:durableId="43992811">
    <w:abstractNumId w:val="22"/>
  </w:num>
  <w:num w:numId="79" w16cid:durableId="1063262248">
    <w:abstractNumId w:val="62"/>
  </w:num>
  <w:num w:numId="80" w16cid:durableId="1924945478">
    <w:abstractNumId w:val="53"/>
  </w:num>
  <w:num w:numId="81" w16cid:durableId="816414706">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6EB"/>
    <w:rsid w:val="0019491C"/>
    <w:rsid w:val="002C66EB"/>
    <w:rsid w:val="00520678"/>
    <w:rsid w:val="0091137E"/>
    <w:rsid w:val="009A4ACF"/>
    <w:rsid w:val="00C37AD3"/>
    <w:rsid w:val="00E06356"/>
    <w:rsid w:val="00E06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5E2FF"/>
  <w15:chartTrackingRefBased/>
  <w15:docId w15:val="{042C77F2-1546-DC4D-977E-DDA24A8ED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6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6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6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6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6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6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6EB"/>
    <w:rPr>
      <w:rFonts w:eastAsiaTheme="majorEastAsia" w:cstheme="majorBidi"/>
      <w:color w:val="272727" w:themeColor="text1" w:themeTint="D8"/>
    </w:rPr>
  </w:style>
  <w:style w:type="paragraph" w:styleId="Title">
    <w:name w:val="Title"/>
    <w:basedOn w:val="Normal"/>
    <w:next w:val="Normal"/>
    <w:link w:val="TitleChar"/>
    <w:uiPriority w:val="10"/>
    <w:qFormat/>
    <w:rsid w:val="002C6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6EB"/>
    <w:pPr>
      <w:spacing w:before="160"/>
      <w:jc w:val="center"/>
    </w:pPr>
    <w:rPr>
      <w:i/>
      <w:iCs/>
      <w:color w:val="404040" w:themeColor="text1" w:themeTint="BF"/>
    </w:rPr>
  </w:style>
  <w:style w:type="character" w:customStyle="1" w:styleId="QuoteChar">
    <w:name w:val="Quote Char"/>
    <w:basedOn w:val="DefaultParagraphFont"/>
    <w:link w:val="Quote"/>
    <w:uiPriority w:val="29"/>
    <w:rsid w:val="002C66EB"/>
    <w:rPr>
      <w:i/>
      <w:iCs/>
      <w:color w:val="404040" w:themeColor="text1" w:themeTint="BF"/>
    </w:rPr>
  </w:style>
  <w:style w:type="paragraph" w:styleId="ListParagraph">
    <w:name w:val="List Paragraph"/>
    <w:basedOn w:val="Normal"/>
    <w:uiPriority w:val="34"/>
    <w:qFormat/>
    <w:rsid w:val="002C66EB"/>
    <w:pPr>
      <w:ind w:left="720"/>
      <w:contextualSpacing/>
    </w:pPr>
  </w:style>
  <w:style w:type="character" w:styleId="IntenseEmphasis">
    <w:name w:val="Intense Emphasis"/>
    <w:basedOn w:val="DefaultParagraphFont"/>
    <w:uiPriority w:val="21"/>
    <w:qFormat/>
    <w:rsid w:val="002C66EB"/>
    <w:rPr>
      <w:i/>
      <w:iCs/>
      <w:color w:val="0F4761" w:themeColor="accent1" w:themeShade="BF"/>
    </w:rPr>
  </w:style>
  <w:style w:type="paragraph" w:styleId="IntenseQuote">
    <w:name w:val="Intense Quote"/>
    <w:basedOn w:val="Normal"/>
    <w:next w:val="Normal"/>
    <w:link w:val="IntenseQuoteChar"/>
    <w:uiPriority w:val="30"/>
    <w:qFormat/>
    <w:rsid w:val="002C6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6EB"/>
    <w:rPr>
      <w:i/>
      <w:iCs/>
      <w:color w:val="0F4761" w:themeColor="accent1" w:themeShade="BF"/>
    </w:rPr>
  </w:style>
  <w:style w:type="character" w:styleId="IntenseReference">
    <w:name w:val="Intense Reference"/>
    <w:basedOn w:val="DefaultParagraphFont"/>
    <w:uiPriority w:val="32"/>
    <w:qFormat/>
    <w:rsid w:val="002C66EB"/>
    <w:rPr>
      <w:b/>
      <w:bCs/>
      <w:smallCaps/>
      <w:color w:val="0F4761" w:themeColor="accent1" w:themeShade="BF"/>
      <w:spacing w:val="5"/>
    </w:rPr>
  </w:style>
  <w:style w:type="paragraph" w:styleId="NormalWeb">
    <w:name w:val="Normal (Web)"/>
    <w:basedOn w:val="Normal"/>
    <w:uiPriority w:val="99"/>
    <w:semiHidden/>
    <w:unhideWhenUsed/>
    <w:rsid w:val="002C66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66EB"/>
    <w:rPr>
      <w:b/>
      <w:bCs/>
    </w:rPr>
  </w:style>
  <w:style w:type="character" w:styleId="Emphasis">
    <w:name w:val="Emphasis"/>
    <w:basedOn w:val="DefaultParagraphFont"/>
    <w:uiPriority w:val="20"/>
    <w:qFormat/>
    <w:rsid w:val="00E06D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24005">
      <w:bodyDiv w:val="1"/>
      <w:marLeft w:val="0"/>
      <w:marRight w:val="0"/>
      <w:marTop w:val="0"/>
      <w:marBottom w:val="0"/>
      <w:divBdr>
        <w:top w:val="none" w:sz="0" w:space="0" w:color="auto"/>
        <w:left w:val="none" w:sz="0" w:space="0" w:color="auto"/>
        <w:bottom w:val="none" w:sz="0" w:space="0" w:color="auto"/>
        <w:right w:val="none" w:sz="0" w:space="0" w:color="auto"/>
      </w:divBdr>
    </w:div>
    <w:div w:id="126238047">
      <w:bodyDiv w:val="1"/>
      <w:marLeft w:val="0"/>
      <w:marRight w:val="0"/>
      <w:marTop w:val="0"/>
      <w:marBottom w:val="0"/>
      <w:divBdr>
        <w:top w:val="none" w:sz="0" w:space="0" w:color="auto"/>
        <w:left w:val="none" w:sz="0" w:space="0" w:color="auto"/>
        <w:bottom w:val="none" w:sz="0" w:space="0" w:color="auto"/>
        <w:right w:val="none" w:sz="0" w:space="0" w:color="auto"/>
      </w:divBdr>
    </w:div>
    <w:div w:id="336352983">
      <w:bodyDiv w:val="1"/>
      <w:marLeft w:val="0"/>
      <w:marRight w:val="0"/>
      <w:marTop w:val="0"/>
      <w:marBottom w:val="0"/>
      <w:divBdr>
        <w:top w:val="none" w:sz="0" w:space="0" w:color="auto"/>
        <w:left w:val="none" w:sz="0" w:space="0" w:color="auto"/>
        <w:bottom w:val="none" w:sz="0" w:space="0" w:color="auto"/>
        <w:right w:val="none" w:sz="0" w:space="0" w:color="auto"/>
      </w:divBdr>
      <w:divsChild>
        <w:div w:id="512257490">
          <w:marLeft w:val="0"/>
          <w:marRight w:val="0"/>
          <w:marTop w:val="0"/>
          <w:marBottom w:val="0"/>
          <w:divBdr>
            <w:top w:val="none" w:sz="0" w:space="0" w:color="auto"/>
            <w:left w:val="none" w:sz="0" w:space="0" w:color="auto"/>
            <w:bottom w:val="none" w:sz="0" w:space="0" w:color="auto"/>
            <w:right w:val="none" w:sz="0" w:space="0" w:color="auto"/>
          </w:divBdr>
          <w:divsChild>
            <w:div w:id="210688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7106">
      <w:bodyDiv w:val="1"/>
      <w:marLeft w:val="0"/>
      <w:marRight w:val="0"/>
      <w:marTop w:val="0"/>
      <w:marBottom w:val="0"/>
      <w:divBdr>
        <w:top w:val="none" w:sz="0" w:space="0" w:color="auto"/>
        <w:left w:val="none" w:sz="0" w:space="0" w:color="auto"/>
        <w:bottom w:val="none" w:sz="0" w:space="0" w:color="auto"/>
        <w:right w:val="none" w:sz="0" w:space="0" w:color="auto"/>
      </w:divBdr>
      <w:divsChild>
        <w:div w:id="1558584358">
          <w:marLeft w:val="0"/>
          <w:marRight w:val="0"/>
          <w:marTop w:val="0"/>
          <w:marBottom w:val="0"/>
          <w:divBdr>
            <w:top w:val="none" w:sz="0" w:space="0" w:color="auto"/>
            <w:left w:val="none" w:sz="0" w:space="0" w:color="auto"/>
            <w:bottom w:val="none" w:sz="0" w:space="0" w:color="auto"/>
            <w:right w:val="none" w:sz="0" w:space="0" w:color="auto"/>
          </w:divBdr>
        </w:div>
        <w:div w:id="163324995">
          <w:marLeft w:val="0"/>
          <w:marRight w:val="0"/>
          <w:marTop w:val="0"/>
          <w:marBottom w:val="0"/>
          <w:divBdr>
            <w:top w:val="none" w:sz="0" w:space="0" w:color="auto"/>
            <w:left w:val="none" w:sz="0" w:space="0" w:color="auto"/>
            <w:bottom w:val="none" w:sz="0" w:space="0" w:color="auto"/>
            <w:right w:val="none" w:sz="0" w:space="0" w:color="auto"/>
          </w:divBdr>
        </w:div>
        <w:div w:id="1977055890">
          <w:marLeft w:val="0"/>
          <w:marRight w:val="0"/>
          <w:marTop w:val="0"/>
          <w:marBottom w:val="0"/>
          <w:divBdr>
            <w:top w:val="none" w:sz="0" w:space="0" w:color="auto"/>
            <w:left w:val="none" w:sz="0" w:space="0" w:color="auto"/>
            <w:bottom w:val="none" w:sz="0" w:space="0" w:color="auto"/>
            <w:right w:val="none" w:sz="0" w:space="0" w:color="auto"/>
          </w:divBdr>
        </w:div>
        <w:div w:id="654527254">
          <w:marLeft w:val="0"/>
          <w:marRight w:val="0"/>
          <w:marTop w:val="0"/>
          <w:marBottom w:val="0"/>
          <w:divBdr>
            <w:top w:val="none" w:sz="0" w:space="0" w:color="auto"/>
            <w:left w:val="none" w:sz="0" w:space="0" w:color="auto"/>
            <w:bottom w:val="none" w:sz="0" w:space="0" w:color="auto"/>
            <w:right w:val="none" w:sz="0" w:space="0" w:color="auto"/>
          </w:divBdr>
        </w:div>
        <w:div w:id="694841279">
          <w:marLeft w:val="0"/>
          <w:marRight w:val="0"/>
          <w:marTop w:val="0"/>
          <w:marBottom w:val="0"/>
          <w:divBdr>
            <w:top w:val="none" w:sz="0" w:space="0" w:color="auto"/>
            <w:left w:val="none" w:sz="0" w:space="0" w:color="auto"/>
            <w:bottom w:val="none" w:sz="0" w:space="0" w:color="auto"/>
            <w:right w:val="none" w:sz="0" w:space="0" w:color="auto"/>
          </w:divBdr>
        </w:div>
        <w:div w:id="906651639">
          <w:marLeft w:val="0"/>
          <w:marRight w:val="0"/>
          <w:marTop w:val="0"/>
          <w:marBottom w:val="0"/>
          <w:divBdr>
            <w:top w:val="none" w:sz="0" w:space="0" w:color="auto"/>
            <w:left w:val="none" w:sz="0" w:space="0" w:color="auto"/>
            <w:bottom w:val="none" w:sz="0" w:space="0" w:color="auto"/>
            <w:right w:val="none" w:sz="0" w:space="0" w:color="auto"/>
          </w:divBdr>
        </w:div>
        <w:div w:id="819544991">
          <w:marLeft w:val="0"/>
          <w:marRight w:val="0"/>
          <w:marTop w:val="0"/>
          <w:marBottom w:val="0"/>
          <w:divBdr>
            <w:top w:val="none" w:sz="0" w:space="0" w:color="auto"/>
            <w:left w:val="none" w:sz="0" w:space="0" w:color="auto"/>
            <w:bottom w:val="none" w:sz="0" w:space="0" w:color="auto"/>
            <w:right w:val="none" w:sz="0" w:space="0" w:color="auto"/>
          </w:divBdr>
        </w:div>
        <w:div w:id="442892546">
          <w:marLeft w:val="0"/>
          <w:marRight w:val="0"/>
          <w:marTop w:val="0"/>
          <w:marBottom w:val="0"/>
          <w:divBdr>
            <w:top w:val="none" w:sz="0" w:space="0" w:color="auto"/>
            <w:left w:val="none" w:sz="0" w:space="0" w:color="auto"/>
            <w:bottom w:val="none" w:sz="0" w:space="0" w:color="auto"/>
            <w:right w:val="none" w:sz="0" w:space="0" w:color="auto"/>
          </w:divBdr>
        </w:div>
      </w:divsChild>
    </w:div>
    <w:div w:id="1087455817">
      <w:bodyDiv w:val="1"/>
      <w:marLeft w:val="0"/>
      <w:marRight w:val="0"/>
      <w:marTop w:val="0"/>
      <w:marBottom w:val="0"/>
      <w:divBdr>
        <w:top w:val="none" w:sz="0" w:space="0" w:color="auto"/>
        <w:left w:val="none" w:sz="0" w:space="0" w:color="auto"/>
        <w:bottom w:val="none" w:sz="0" w:space="0" w:color="auto"/>
        <w:right w:val="none" w:sz="0" w:space="0" w:color="auto"/>
      </w:divBdr>
    </w:div>
    <w:div w:id="1151141173">
      <w:bodyDiv w:val="1"/>
      <w:marLeft w:val="0"/>
      <w:marRight w:val="0"/>
      <w:marTop w:val="0"/>
      <w:marBottom w:val="0"/>
      <w:divBdr>
        <w:top w:val="none" w:sz="0" w:space="0" w:color="auto"/>
        <w:left w:val="none" w:sz="0" w:space="0" w:color="auto"/>
        <w:bottom w:val="none" w:sz="0" w:space="0" w:color="auto"/>
        <w:right w:val="none" w:sz="0" w:space="0" w:color="auto"/>
      </w:divBdr>
      <w:divsChild>
        <w:div w:id="1034158126">
          <w:marLeft w:val="0"/>
          <w:marRight w:val="0"/>
          <w:marTop w:val="0"/>
          <w:marBottom w:val="0"/>
          <w:divBdr>
            <w:top w:val="none" w:sz="0" w:space="0" w:color="auto"/>
            <w:left w:val="none" w:sz="0" w:space="0" w:color="auto"/>
            <w:bottom w:val="none" w:sz="0" w:space="0" w:color="auto"/>
            <w:right w:val="none" w:sz="0" w:space="0" w:color="auto"/>
          </w:divBdr>
          <w:divsChild>
            <w:div w:id="102020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6343">
      <w:bodyDiv w:val="1"/>
      <w:marLeft w:val="0"/>
      <w:marRight w:val="0"/>
      <w:marTop w:val="0"/>
      <w:marBottom w:val="0"/>
      <w:divBdr>
        <w:top w:val="none" w:sz="0" w:space="0" w:color="auto"/>
        <w:left w:val="none" w:sz="0" w:space="0" w:color="auto"/>
        <w:bottom w:val="none" w:sz="0" w:space="0" w:color="auto"/>
        <w:right w:val="none" w:sz="0" w:space="0" w:color="auto"/>
      </w:divBdr>
    </w:div>
    <w:div w:id="1358581198">
      <w:bodyDiv w:val="1"/>
      <w:marLeft w:val="0"/>
      <w:marRight w:val="0"/>
      <w:marTop w:val="0"/>
      <w:marBottom w:val="0"/>
      <w:divBdr>
        <w:top w:val="none" w:sz="0" w:space="0" w:color="auto"/>
        <w:left w:val="none" w:sz="0" w:space="0" w:color="auto"/>
        <w:bottom w:val="none" w:sz="0" w:space="0" w:color="auto"/>
        <w:right w:val="none" w:sz="0" w:space="0" w:color="auto"/>
      </w:divBdr>
      <w:divsChild>
        <w:div w:id="660502578">
          <w:marLeft w:val="0"/>
          <w:marRight w:val="0"/>
          <w:marTop w:val="0"/>
          <w:marBottom w:val="0"/>
          <w:divBdr>
            <w:top w:val="none" w:sz="0" w:space="0" w:color="auto"/>
            <w:left w:val="none" w:sz="0" w:space="0" w:color="auto"/>
            <w:bottom w:val="none" w:sz="0" w:space="0" w:color="auto"/>
            <w:right w:val="none" w:sz="0" w:space="0" w:color="auto"/>
          </w:divBdr>
          <w:divsChild>
            <w:div w:id="1038435470">
              <w:marLeft w:val="0"/>
              <w:marRight w:val="0"/>
              <w:marTop w:val="0"/>
              <w:marBottom w:val="0"/>
              <w:divBdr>
                <w:top w:val="none" w:sz="0" w:space="0" w:color="auto"/>
                <w:left w:val="none" w:sz="0" w:space="0" w:color="auto"/>
                <w:bottom w:val="none" w:sz="0" w:space="0" w:color="auto"/>
                <w:right w:val="none" w:sz="0" w:space="0" w:color="auto"/>
              </w:divBdr>
            </w:div>
          </w:divsChild>
        </w:div>
        <w:div w:id="1146976071">
          <w:marLeft w:val="0"/>
          <w:marRight w:val="0"/>
          <w:marTop w:val="0"/>
          <w:marBottom w:val="0"/>
          <w:divBdr>
            <w:top w:val="none" w:sz="0" w:space="0" w:color="auto"/>
            <w:left w:val="none" w:sz="0" w:space="0" w:color="auto"/>
            <w:bottom w:val="none" w:sz="0" w:space="0" w:color="auto"/>
            <w:right w:val="none" w:sz="0" w:space="0" w:color="auto"/>
          </w:divBdr>
          <w:divsChild>
            <w:div w:id="845754960">
              <w:marLeft w:val="0"/>
              <w:marRight w:val="0"/>
              <w:marTop w:val="0"/>
              <w:marBottom w:val="0"/>
              <w:divBdr>
                <w:top w:val="none" w:sz="0" w:space="0" w:color="auto"/>
                <w:left w:val="none" w:sz="0" w:space="0" w:color="auto"/>
                <w:bottom w:val="none" w:sz="0" w:space="0" w:color="auto"/>
                <w:right w:val="none" w:sz="0" w:space="0" w:color="auto"/>
              </w:divBdr>
            </w:div>
          </w:divsChild>
        </w:div>
        <w:div w:id="1799489780">
          <w:marLeft w:val="0"/>
          <w:marRight w:val="0"/>
          <w:marTop w:val="0"/>
          <w:marBottom w:val="0"/>
          <w:divBdr>
            <w:top w:val="none" w:sz="0" w:space="0" w:color="auto"/>
            <w:left w:val="none" w:sz="0" w:space="0" w:color="auto"/>
            <w:bottom w:val="none" w:sz="0" w:space="0" w:color="auto"/>
            <w:right w:val="none" w:sz="0" w:space="0" w:color="auto"/>
          </w:divBdr>
          <w:divsChild>
            <w:div w:id="29937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2488">
      <w:bodyDiv w:val="1"/>
      <w:marLeft w:val="0"/>
      <w:marRight w:val="0"/>
      <w:marTop w:val="0"/>
      <w:marBottom w:val="0"/>
      <w:divBdr>
        <w:top w:val="none" w:sz="0" w:space="0" w:color="auto"/>
        <w:left w:val="none" w:sz="0" w:space="0" w:color="auto"/>
        <w:bottom w:val="none" w:sz="0" w:space="0" w:color="auto"/>
        <w:right w:val="none" w:sz="0" w:space="0" w:color="auto"/>
      </w:divBdr>
    </w:div>
    <w:div w:id="1670137890">
      <w:bodyDiv w:val="1"/>
      <w:marLeft w:val="0"/>
      <w:marRight w:val="0"/>
      <w:marTop w:val="0"/>
      <w:marBottom w:val="0"/>
      <w:divBdr>
        <w:top w:val="none" w:sz="0" w:space="0" w:color="auto"/>
        <w:left w:val="none" w:sz="0" w:space="0" w:color="auto"/>
        <w:bottom w:val="none" w:sz="0" w:space="0" w:color="auto"/>
        <w:right w:val="none" w:sz="0" w:space="0" w:color="auto"/>
      </w:divBdr>
    </w:div>
    <w:div w:id="198496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29</Pages>
  <Words>5245</Words>
  <Characters>29899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Hebert</dc:creator>
  <cp:keywords/>
  <dc:description/>
  <cp:lastModifiedBy>Tyler Hebert</cp:lastModifiedBy>
  <cp:revision>2</cp:revision>
  <dcterms:created xsi:type="dcterms:W3CDTF">2025-07-07T19:18:00Z</dcterms:created>
  <dcterms:modified xsi:type="dcterms:W3CDTF">2025-07-07T20:34:00Z</dcterms:modified>
</cp:coreProperties>
</file>