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 Website 2.0 Developer Instructions</w:t>
      </w:r>
    </w:p>
    <w:p>
      <w:pPr>
        <w:pStyle w:val="Subtitle"/>
        <w:spacing w:after="120"/>
      </w:pPr>
      <w:r>
        <w:t>Core handoff implementation guide for the local mock site</w:t>
      </w:r>
    </w:p>
    <w:p>
      <w:pPr>
        <w:spacing w:after="120"/>
      </w:pPr>
      <w:r>
        <w:t>Use this guide with the companion PNG and the full HTML handoff. It translates the approved direction into an implementation sequence for the Global Shell, Homepage, Membership, and Programs. This is candidate copy and layout guidance for review; it is not permission to publish to Wix.</w:t>
      </w:r>
    </w:p>
    <w:p>
      <w:pPr>
        <w:pStyle w:val="Heading1"/>
      </w:pPr>
      <w:r>
        <w:t>Start here</w:t>
      </w:r>
    </w:p>
    <w:p>
      <w:pPr>
        <w:pStyle w:val="ListBullet"/>
        <w:spacing w:after="120"/>
      </w:pPr>
      <w:r>
        <w:t>Open the PNG for the intended hierarchy and page rhythm.</w:t>
      </w:r>
    </w:p>
    <w:p>
      <w:pPr>
        <w:pStyle w:val="ListBullet"/>
        <w:spacing w:after="120"/>
      </w:pPr>
      <w:r>
        <w:t>Open wix-copy-experience-handoff/index.html for exact copy, source notes, decision status, and page contracts.</w:t>
      </w:r>
    </w:p>
    <w:p>
      <w:pPr>
        <w:pStyle w:val="ListBullet"/>
        <w:spacing w:after="120"/>
      </w:pPr>
      <w:r>
        <w:t>Implement in order: Global Shell, Homepage, Membership, Programs, then Builder 1.0 and the remaining routes.</w:t>
      </w:r>
    </w:p>
    <w:p>
      <w:pPr>
        <w:pStyle w:val="ListBullet"/>
        <w:spacing w:after="120"/>
      </w:pPr>
      <w:r>
        <w:t>Use the HTML as the copy source of truth; the PNG is visual orientation, not a pixel-perfect Wix specification.</w:t>
      </w:r>
    </w:p>
    <w:p>
      <w:pPr>
        <w:pStyle w:val="Heading1"/>
      </w:pPr>
      <w:r>
        <w:t>Global shell</w:t>
      </w:r>
    </w:p>
    <w:p>
      <w:pPr>
        <w:spacing w:after="120"/>
      </w:pPr>
      <w:r>
        <w:t>Make the site feel like a clear next step for a founder—not a catalog of everything OM does. Keep the shell consistent across every page.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203746"/>
          </w:tcPr>
          <w:p>
            <w:pPr>
              <w:spacing w:after="40"/>
            </w:pPr>
            <w:r/>
            <w:r>
              <w:rPr>
                <w:b/>
                <w:color w:val="FFFFFF"/>
                <w:sz w:val="19"/>
              </w:rPr>
              <w:t>Element</w:t>
            </w:r>
          </w:p>
        </w:tc>
        <w:tc>
          <w:tcPr>
            <w:tcW w:type="dxa" w:w="4968"/>
            <w:vAlign w:val="center"/>
            <w:shd w:fill="203746"/>
          </w:tcPr>
          <w:p>
            <w:pPr>
              <w:spacing w:after="40"/>
            </w:pPr>
            <w:r/>
            <w:r>
              <w:rPr>
                <w:b/>
                <w:color w:val="FFFFFF"/>
                <w:sz w:val="19"/>
              </w:rPr>
              <w:t>Implementation direction</w:t>
            </w:r>
          </w:p>
        </w:tc>
      </w:tr>
      <w:tr>
        <w:tc>
          <w:tcPr>
            <w:tcW w:type="dxa" w:w="4968"/>
            <w:vAlign w:val="center"/>
          </w:tcPr>
          <w:p>
            <w:pPr>
              <w:spacing w:after="40"/>
            </w:pPr>
            <w:r/>
            <w:r>
              <w:rPr>
                <w:b/>
                <w:color w:val="000000"/>
                <w:sz w:val="19"/>
              </w:rPr>
              <w:t>Primary navigation</w:t>
            </w:r>
          </w:p>
        </w:tc>
        <w:tc>
          <w:tcPr>
            <w:tcW w:type="dxa" w:w="4968"/>
            <w:vAlign w:val="center"/>
          </w:tcPr>
          <w:p>
            <w:pPr>
              <w:spacing w:after="40"/>
            </w:pPr>
            <w:r/>
            <w:r>
              <w:rPr>
                <w:b w:val="0"/>
                <w:color w:val="000000"/>
                <w:sz w:val="19"/>
              </w:rPr>
              <w:t>Membership, Programs, Events, Mentors, Alumni, Ecosystem, About OM. Membership is first.</w:t>
            </w:r>
          </w:p>
        </w:tc>
      </w:tr>
      <w:tr>
        <w:tc>
          <w:tcPr>
            <w:tcW w:type="dxa" w:w="4968"/>
            <w:vAlign w:val="center"/>
          </w:tcPr>
          <w:p>
            <w:pPr>
              <w:spacing w:after="40"/>
            </w:pPr>
            <w:r/>
            <w:r>
              <w:rPr>
                <w:b/>
                <w:color w:val="000000"/>
                <w:sz w:val="19"/>
              </w:rPr>
              <w:t>Header action</w:t>
            </w:r>
          </w:p>
        </w:tc>
        <w:tc>
          <w:tcPr>
            <w:tcW w:type="dxa" w:w="4968"/>
            <w:vAlign w:val="center"/>
          </w:tcPr>
          <w:p>
            <w:pPr>
              <w:spacing w:after="40"/>
            </w:pPr>
            <w:r/>
            <w:r>
              <w:rPr>
                <w:b w:val="0"/>
                <w:color w:val="000000"/>
                <w:sz w:val="19"/>
              </w:rPr>
              <w:t>Book a Call remains visible in the header.</w:t>
            </w:r>
          </w:p>
        </w:tc>
      </w:tr>
      <w:tr>
        <w:tc>
          <w:tcPr>
            <w:tcW w:type="dxa" w:w="4968"/>
            <w:vAlign w:val="center"/>
          </w:tcPr>
          <w:p>
            <w:pPr>
              <w:spacing w:after="40"/>
            </w:pPr>
            <w:r/>
            <w:r>
              <w:rPr>
                <w:b/>
                <w:color w:val="000000"/>
                <w:sz w:val="19"/>
              </w:rPr>
              <w:t>Page-bottom actions</w:t>
            </w:r>
          </w:p>
        </w:tc>
        <w:tc>
          <w:tcPr>
            <w:tcW w:type="dxa" w:w="4968"/>
            <w:vAlign w:val="center"/>
          </w:tcPr>
          <w:p>
            <w:pPr>
              <w:spacing w:after="40"/>
            </w:pPr>
            <w:r/>
            <w:r>
              <w:rPr>
                <w:b w:val="0"/>
                <w:color w:val="000000"/>
                <w:sz w:val="19"/>
              </w:rPr>
              <w:t>Every page ends with Apply Now and Schedule a Call.</w:t>
            </w:r>
          </w:p>
        </w:tc>
      </w:tr>
      <w:tr>
        <w:tc>
          <w:tcPr>
            <w:tcW w:type="dxa" w:w="4968"/>
            <w:vAlign w:val="center"/>
          </w:tcPr>
          <w:p>
            <w:pPr>
              <w:spacing w:after="40"/>
            </w:pPr>
            <w:r/>
            <w:r>
              <w:rPr>
                <w:b/>
                <w:color w:val="000000"/>
                <w:sz w:val="19"/>
              </w:rPr>
              <w:t>Mobile</w:t>
            </w:r>
          </w:p>
        </w:tc>
        <w:tc>
          <w:tcPr>
            <w:tcW w:type="dxa" w:w="4968"/>
            <w:vAlign w:val="center"/>
          </w:tcPr>
          <w:p>
            <w:pPr>
              <w:spacing w:after="40"/>
            </w:pPr>
            <w:r/>
            <w:r>
              <w:rPr>
                <w:b w:val="0"/>
                <w:color w:val="000000"/>
                <w:sz w:val="19"/>
              </w:rPr>
              <w:t>Preserve the same order and both actions in the mobile menu or bottom CTA.</w:t>
            </w:r>
          </w:p>
        </w:tc>
      </w:tr>
      <w:tr>
        <w:tc>
          <w:tcPr>
            <w:tcW w:type="dxa" w:w="4968"/>
            <w:vAlign w:val="center"/>
          </w:tcPr>
          <w:p>
            <w:pPr>
              <w:spacing w:after="40"/>
            </w:pPr>
            <w:r/>
            <w:r>
              <w:rPr>
                <w:b/>
                <w:color w:val="000000"/>
                <w:sz w:val="19"/>
              </w:rPr>
              <w:t>Tone</w:t>
            </w:r>
          </w:p>
        </w:tc>
        <w:tc>
          <w:tcPr>
            <w:tcW w:type="dxa" w:w="4968"/>
            <w:vAlign w:val="center"/>
          </w:tcPr>
          <w:p>
            <w:pPr>
              <w:spacing w:after="40"/>
            </w:pPr>
            <w:r/>
            <w:r>
              <w:rPr>
                <w:b w:val="0"/>
                <w:color w:val="000000"/>
                <w:sz w:val="19"/>
              </w:rPr>
              <w:t>Founder-led, practical, evidence-aware, and direct. Avoid unsupported scale claims.</w:t>
            </w:r>
          </w:p>
        </w:tc>
      </w:tr>
    </w:tbl>
    <w:p>
      <w:pPr>
        <w:pStyle w:val="Heading1"/>
      </w:pPr>
      <w:r>
        <w:t>Homepage</w:t>
      </w:r>
    </w:p>
    <w:p>
      <w:pPr>
        <w:spacing w:after="120"/>
      </w:pPr>
      <w:r>
        <w:t>Recognition first, then a clear route into the right next step.</w:t>
      </w:r>
    </w:p>
    <w:p>
      <w:pPr>
        <w:pStyle w:val="Heading2"/>
      </w:pPr>
      <w:r>
        <w:t>Build this</w:t>
      </w:r>
    </w:p>
    <w:p>
      <w:pPr>
        <w:pStyle w:val="ListBullet"/>
        <w:spacing w:after="120"/>
      </w:pPr>
      <w:r>
        <w:t>Use the hero hierarchy: “For founders who…” followed by the six exact visitor needs in the handoff. Do not rewrite the six lines.</w:t>
      </w:r>
    </w:p>
    <w:p>
      <w:pPr>
        <w:pStyle w:val="ListBullet"/>
        <w:spacing w:after="120"/>
      </w:pPr>
      <w:r>
        <w:t>Follow with founder-led recognition, OM purpose, five need-based routes, T012, and a GlowSens founder-story teaser linking to its detail context.</w:t>
      </w:r>
    </w:p>
    <w:p>
      <w:pPr>
        <w:pStyle w:val="ListBullet"/>
        <w:spacing w:after="120"/>
      </w:pPr>
      <w:r>
        <w:t>Keep Apply Now and Schedule a Call visible.</w:t>
      </w:r>
    </w:p>
    <w:p>
      <w:pPr>
        <w:pStyle w:val="Heading2"/>
      </w:pPr>
      <w:r>
        <w:t>Hold or verify</w:t>
      </w:r>
    </w:p>
    <w:p>
      <w:pPr>
        <w:pStyle w:val="ListBullet"/>
        <w:spacing w:after="120"/>
      </w:pPr>
      <w:r>
        <w:t>Do not add invented metrics, outcomes, logos, or claims. Confirm video/hero asset and testimonial permission before publication.</w:t>
      </w:r>
    </w:p>
    <w:p>
      <w:pPr>
        <w:pStyle w:val="Heading1"/>
      </w:pPr>
      <w:r>
        <w:t>Membership</w:t>
      </w:r>
    </w:p>
    <w:p>
      <w:pPr>
        <w:spacing w:after="120"/>
      </w:pPr>
      <w:r>
        <w:t>The primary relationship page: explain what membership means before asking a founder to apply.</w:t>
      </w:r>
    </w:p>
    <w:p>
      <w:pPr>
        <w:pStyle w:val="Heading2"/>
      </w:pPr>
      <w:r>
        <w:t>Build this</w:t>
      </w:r>
    </w:p>
    <w:p>
      <w:pPr>
        <w:pStyle w:val="ListBullet"/>
        <w:spacing w:after="120"/>
      </w:pPr>
      <w:r>
        <w:t>Lead with “A membership built around your next move.”</w:t>
      </w:r>
    </w:p>
    <w:p>
      <w:pPr>
        <w:pStyle w:val="ListBullet"/>
        <w:spacing w:after="120"/>
      </w:pPr>
      <w:r>
        <w:t>List benefits in this exact order: Access to the startup ecosystem; Programming; Coaching and support; Perks and discounts; Resource libraries; 24/7 flexible workspace.</w:t>
      </w:r>
    </w:p>
    <w:p>
      <w:pPr>
        <w:pStyle w:val="ListBullet"/>
        <w:spacing w:after="120"/>
      </w:pPr>
      <w:r>
        <w:t>Link the first three benefits to Ecosystem, Programs, and Mentor Program. Place T014 after the benefits, then explain the interest call and show Apply Now plus Schedule a Call.</w:t>
      </w:r>
    </w:p>
    <w:p>
      <w:pPr>
        <w:pStyle w:val="ListBullet"/>
        <w:spacing w:after="120"/>
      </w:pPr>
      <w:r>
        <w:t>Keep eligibility, pricing, workspace details, application destination, and intake timing as review gates until confirmed.</w:t>
      </w:r>
    </w:p>
    <w:p>
      <w:pPr>
        <w:pStyle w:val="Heading2"/>
      </w:pPr>
      <w:r>
        <w:t>Hold or verify</w:t>
      </w:r>
    </w:p>
    <w:p>
      <w:pPr>
        <w:pStyle w:val="ListBullet"/>
        <w:spacing w:after="120"/>
      </w:pPr>
      <w:r>
        <w:t>Do not restore the removed “OM takes no equity” reassurance or imply guaranteed admission.</w:t>
      </w:r>
    </w:p>
    <w:p>
      <w:pPr>
        <w:pStyle w:val="Heading1"/>
      </w:pPr>
      <w:r>
        <w:t>Programs</w:t>
      </w:r>
    </w:p>
    <w:p>
      <w:pPr>
        <w:spacing w:after="120"/>
      </w:pPr>
      <w:r>
        <w:t>Replace a single Builder-first explanation with a portfolio that helps a founder identify the right stage and next move.</w:t>
      </w:r>
    </w:p>
    <w:p>
      <w:pPr>
        <w:pStyle w:val="Heading2"/>
      </w:pPr>
      <w:r>
        <w:t>Build this</w:t>
      </w:r>
    </w:p>
    <w:p>
      <w:pPr>
        <w:pStyle w:val="ListBullet"/>
        <w:spacing w:after="120"/>
      </w:pPr>
      <w:r>
        <w:t>Use “Programs built for every stage of growth.” Route visitors by need or stage before presenting cards.</w:t>
      </w:r>
    </w:p>
    <w:p>
      <w:pPr>
        <w:pStyle w:val="ListBullet"/>
        <w:spacing w:after="120"/>
      </w:pPr>
      <w:r>
        <w:t>Primary cards: Builder 1.0, Builder 2.0, Mentor Program, and Emerging Tech Intern Program (ETI). Use ETI exactly; do not expand it to ETIP.</w:t>
      </w:r>
    </w:p>
    <w:p>
      <w:pPr>
        <w:pStyle w:val="ListBullet"/>
        <w:spacing w:after="120"/>
      </w:pPr>
      <w:r>
        <w:t>Keep Founder Services separate for Pitch Prep and Beta Testing. Hold Tech Transfer until its facts are confirmed.</w:t>
      </w:r>
    </w:p>
    <w:p>
      <w:pPr>
        <w:pStyle w:val="ListBullet"/>
        <w:spacing w:after="120"/>
      </w:pPr>
      <w:r>
        <w:t>Use T006 on the portfolio page and route into Builder 1.0 detail, where full Builder copy, FAQs, and T002 live.</w:t>
      </w:r>
    </w:p>
    <w:p>
      <w:pPr>
        <w:pStyle w:val="Heading2"/>
      </w:pPr>
      <w:r>
        <w:t>Hold or verify</w:t>
      </w:r>
    </w:p>
    <w:p>
      <w:pPr>
        <w:pStyle w:val="ListBullet"/>
        <w:spacing w:after="120"/>
      </w:pPr>
      <w:r>
        <w:t>Do not collapse programs and services into one undifferentiated grid. Keep each card audience-oriented and centered on what a founder leaves with.</w:t>
      </w:r>
    </w:p>
    <w:p>
      <w:pPr>
        <w:pStyle w:val="Heading1"/>
      </w:pPr>
      <w:r>
        <w:t>Copy and source controls</w:t>
      </w:r>
    </w:p>
    <w:p>
      <w:pPr>
        <w:pStyle w:val="ListBullet"/>
        <w:spacing w:after="120"/>
      </w:pPr>
      <w:r>
        <w:t>Treat new prose as proposed or pending review unless the HTML labels it otherwise. Preserve exact selected testimonials; do not paraphrase them.</w:t>
      </w:r>
    </w:p>
    <w:p>
      <w:pPr>
        <w:pStyle w:val="ListBullet"/>
        <w:spacing w:after="120"/>
      </w:pPr>
      <w:r>
        <w:t>Keep source notes attached to proof. T003 belongs under Innovate South; T013 belongs in a founder-story context; T001 supports OM purpose and ecosystem role; T002 belongs beside Builder 1.0 detail.</w:t>
      </w:r>
    </w:p>
    <w:p>
      <w:pPr>
        <w:pStyle w:val="ListBullet"/>
        <w:spacing w:after="120"/>
      </w:pPr>
      <w:r>
        <w:t>Do not refresh the mentor roster, including Teresa, in this slice. Do not publish unverified partner, event, program, or destination facts.</w:t>
      </w:r>
    </w:p>
    <w:p>
      <w:pPr>
        <w:pStyle w:val="ListBullet"/>
        <w:spacing w:after="120"/>
      </w:pPr>
      <w:r>
        <w:t>The HTML distinguishes confirmed, candidate, pending review, and unknown states. Keep those states visible during implementation.</w:t>
      </w:r>
    </w:p>
    <w:p>
      <w:pPr>
        <w:pStyle w:val="Heading1"/>
      </w:pPr>
      <w:r>
        <w:t>Developer handback checklist</w:t>
      </w:r>
    </w:p>
    <w:p>
      <w:pPr>
        <w:pStyle w:val="ListBullet"/>
        <w:spacing w:after="120"/>
      </w:pPr>
      <w:r>
        <w:t>Return annotated screenshots for each implemented page and note deviations.</w:t>
      </w:r>
    </w:p>
    <w:p>
      <w:pPr>
        <w:pStyle w:val="ListBullet"/>
        <w:spacing w:after="120"/>
      </w:pPr>
      <w:r>
        <w:t>Return final Wix slugs and destinations for Apply Now, Schedule a Call, and routed cards.</w:t>
      </w:r>
    </w:p>
    <w:p>
      <w:pPr>
        <w:pStyle w:val="ListBullet"/>
        <w:spacing w:after="120"/>
      </w:pPr>
      <w:r>
        <w:t>Confirm membership terms, eligibility, access facts, ETI facts, and Tech Transfer facts with the OM owner.</w:t>
      </w:r>
    </w:p>
    <w:p>
      <w:pPr>
        <w:pStyle w:val="ListBullet"/>
        <w:spacing w:after="120"/>
      </w:pPr>
      <w:r>
        <w:t>Run node build.mjs, then python3 verify.py after edits.</w:t>
      </w:r>
    </w:p>
    <w:p>
      <w:pPr>
        <w:pStyle w:val="ListBullet"/>
        <w:spacing w:after="120"/>
      </w:pPr>
      <w:r>
        <w:t>Do not publish or edit the live Wix 1.0 site until Tyler approves the candidate 2.0 copy and destination map.</w:t>
      </w:r>
    </w:p>
    <w:p>
      <w:pPr>
        <w:pStyle w:val="Heading1"/>
      </w:pPr>
      <w:r>
        <w:t>File map</w:t>
      </w:r>
    </w:p>
    <w:p>
      <w:pPr>
        <w:pStyle w:val="ListBullet"/>
        <w:spacing w:after="120"/>
      </w:pPr>
      <w:r>
        <w:t>om-core-handoff-v2.0.png — visual overview of the core flow.</w:t>
      </w:r>
    </w:p>
    <w:p>
      <w:pPr>
        <w:pStyle w:val="ListBullet"/>
        <w:spacing w:after="120"/>
      </w:pPr>
      <w:r>
        <w:t>wix-copy-experience-handoff/index.html — navigable handoff and exact copy.</w:t>
      </w:r>
    </w:p>
    <w:p>
      <w:pPr>
        <w:pStyle w:val="ListBullet"/>
        <w:spacing w:after="120"/>
      </w:pPr>
      <w:r>
        <w:t>content.mjs and page-contracts.json — structured page content and contracts.</w:t>
      </w:r>
    </w:p>
    <w:p>
      <w:pPr>
        <w:pStyle w:val="ListBullet"/>
        <w:spacing w:after="120"/>
      </w:pPr>
      <w:r>
        <w:t>copy-coverage.json and source-testimonials.json — coverage and proof mapping.</w:t>
      </w:r>
    </w:p>
    <w:p>
      <w:pPr>
        <w:pStyle w:val="ListBullet"/>
        <w:spacing w:after="120"/>
      </w:pPr>
      <w:r>
        <w:t>verify.py and qa-receipt.json — bounded checks and QA record.</w:t>
      </w:r>
    </w:p>
    <w:p>
      <w:pPr>
        <w:spacing w:after="120"/>
      </w:pPr>
      <w:r>
        <w:t>Current boundary: local mock and handoff only. The live Wix site remains unchanged.</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Opportunity Machine · Website 2.0 candidate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 Website 2.0 Developer Instructions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