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lastRenderedPageBreak/>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15F65CBE" w:rsidR="00B23DEA" w:rsidRDefault="004627D4"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646756"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2E80" w14:textId="77777777" w:rsidR="00646756" w:rsidRDefault="00646756">
      <w:r>
        <w:separator/>
      </w:r>
    </w:p>
  </w:endnote>
  <w:endnote w:type="continuationSeparator" w:id="0">
    <w:p w14:paraId="065E7160" w14:textId="77777777" w:rsidR="00646756" w:rsidRDefault="0064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B215" w14:textId="77777777" w:rsidR="00646756" w:rsidRDefault="00646756">
      <w:r>
        <w:separator/>
      </w:r>
    </w:p>
  </w:footnote>
  <w:footnote w:type="continuationSeparator" w:id="0">
    <w:p w14:paraId="7C108305" w14:textId="77777777" w:rsidR="00646756" w:rsidRDefault="00646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E4122"/>
    <w:rsid w:val="000F1939"/>
    <w:rsid w:val="000F5A5E"/>
    <w:rsid w:val="00117B21"/>
    <w:rsid w:val="00123144"/>
    <w:rsid w:val="00125484"/>
    <w:rsid w:val="00126086"/>
    <w:rsid w:val="00134987"/>
    <w:rsid w:val="00136A5A"/>
    <w:rsid w:val="001538D6"/>
    <w:rsid w:val="00161A10"/>
    <w:rsid w:val="00172308"/>
    <w:rsid w:val="0017657E"/>
    <w:rsid w:val="00180BC9"/>
    <w:rsid w:val="001A09E8"/>
    <w:rsid w:val="001A2DD4"/>
    <w:rsid w:val="001E2086"/>
    <w:rsid w:val="00221AF9"/>
    <w:rsid w:val="00231237"/>
    <w:rsid w:val="002462F9"/>
    <w:rsid w:val="00270A03"/>
    <w:rsid w:val="00274004"/>
    <w:rsid w:val="002742BE"/>
    <w:rsid w:val="002849AC"/>
    <w:rsid w:val="00284EEC"/>
    <w:rsid w:val="002B5A4A"/>
    <w:rsid w:val="002C2F24"/>
    <w:rsid w:val="002D17EF"/>
    <w:rsid w:val="002E04FB"/>
    <w:rsid w:val="002E34F8"/>
    <w:rsid w:val="002F23C1"/>
    <w:rsid w:val="00314800"/>
    <w:rsid w:val="003205F0"/>
    <w:rsid w:val="0032309E"/>
    <w:rsid w:val="00330295"/>
    <w:rsid w:val="0033484B"/>
    <w:rsid w:val="00335DA3"/>
    <w:rsid w:val="00340095"/>
    <w:rsid w:val="003537E7"/>
    <w:rsid w:val="00384641"/>
    <w:rsid w:val="003A13F7"/>
    <w:rsid w:val="003B5F05"/>
    <w:rsid w:val="003B7E75"/>
    <w:rsid w:val="003E390F"/>
    <w:rsid w:val="003E6517"/>
    <w:rsid w:val="00413D06"/>
    <w:rsid w:val="0042168E"/>
    <w:rsid w:val="00430F55"/>
    <w:rsid w:val="00432AA1"/>
    <w:rsid w:val="00460CC4"/>
    <w:rsid w:val="004627D4"/>
    <w:rsid w:val="0048181E"/>
    <w:rsid w:val="00483345"/>
    <w:rsid w:val="00485688"/>
    <w:rsid w:val="0049258D"/>
    <w:rsid w:val="004B5D49"/>
    <w:rsid w:val="004C020B"/>
    <w:rsid w:val="004C7197"/>
    <w:rsid w:val="004D2681"/>
    <w:rsid w:val="004D3AC7"/>
    <w:rsid w:val="004D6AF0"/>
    <w:rsid w:val="004E13D7"/>
    <w:rsid w:val="004E4039"/>
    <w:rsid w:val="004E5B91"/>
    <w:rsid w:val="004E7BD9"/>
    <w:rsid w:val="005050B8"/>
    <w:rsid w:val="00540201"/>
    <w:rsid w:val="0055142A"/>
    <w:rsid w:val="00560FC2"/>
    <w:rsid w:val="005648F3"/>
    <w:rsid w:val="00566965"/>
    <w:rsid w:val="00566F63"/>
    <w:rsid w:val="005879A2"/>
    <w:rsid w:val="005953CF"/>
    <w:rsid w:val="005A7DEB"/>
    <w:rsid w:val="005C7AF9"/>
    <w:rsid w:val="005D32B8"/>
    <w:rsid w:val="006014B2"/>
    <w:rsid w:val="00623B98"/>
    <w:rsid w:val="006437FE"/>
    <w:rsid w:val="00646756"/>
    <w:rsid w:val="00646A33"/>
    <w:rsid w:val="00647630"/>
    <w:rsid w:val="006509E3"/>
    <w:rsid w:val="00675332"/>
    <w:rsid w:val="00693C28"/>
    <w:rsid w:val="00693E99"/>
    <w:rsid w:val="006A4951"/>
    <w:rsid w:val="006A73B2"/>
    <w:rsid w:val="006C15EB"/>
    <w:rsid w:val="006C7AE5"/>
    <w:rsid w:val="006D1B58"/>
    <w:rsid w:val="006D4256"/>
    <w:rsid w:val="006D5836"/>
    <w:rsid w:val="006E1772"/>
    <w:rsid w:val="006E2957"/>
    <w:rsid w:val="006E34B7"/>
    <w:rsid w:val="00742455"/>
    <w:rsid w:val="0074709A"/>
    <w:rsid w:val="00770687"/>
    <w:rsid w:val="007821FC"/>
    <w:rsid w:val="007A4909"/>
    <w:rsid w:val="007A4EC9"/>
    <w:rsid w:val="007E0965"/>
    <w:rsid w:val="007E39EC"/>
    <w:rsid w:val="007E42E9"/>
    <w:rsid w:val="007F417A"/>
    <w:rsid w:val="008203FD"/>
    <w:rsid w:val="0084276F"/>
    <w:rsid w:val="00847B8A"/>
    <w:rsid w:val="00857E1F"/>
    <w:rsid w:val="00874639"/>
    <w:rsid w:val="008819A7"/>
    <w:rsid w:val="008A458E"/>
    <w:rsid w:val="008B4CFD"/>
    <w:rsid w:val="008C4C00"/>
    <w:rsid w:val="00903CD1"/>
    <w:rsid w:val="00920576"/>
    <w:rsid w:val="0094167F"/>
    <w:rsid w:val="00942B66"/>
    <w:rsid w:val="00960D46"/>
    <w:rsid w:val="0096196F"/>
    <w:rsid w:val="00966EBA"/>
    <w:rsid w:val="0097173D"/>
    <w:rsid w:val="00974079"/>
    <w:rsid w:val="00982726"/>
    <w:rsid w:val="00991624"/>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AE2E94"/>
    <w:rsid w:val="00B028E6"/>
    <w:rsid w:val="00B044AE"/>
    <w:rsid w:val="00B05193"/>
    <w:rsid w:val="00B1115A"/>
    <w:rsid w:val="00B23DEA"/>
    <w:rsid w:val="00B37CBA"/>
    <w:rsid w:val="00B431A1"/>
    <w:rsid w:val="00B433F0"/>
    <w:rsid w:val="00B50EA1"/>
    <w:rsid w:val="00B705F2"/>
    <w:rsid w:val="00B75675"/>
    <w:rsid w:val="00B87AA0"/>
    <w:rsid w:val="00BA49B8"/>
    <w:rsid w:val="00BA5274"/>
    <w:rsid w:val="00BA771C"/>
    <w:rsid w:val="00BB10BC"/>
    <w:rsid w:val="00BC3B5A"/>
    <w:rsid w:val="00BD14F2"/>
    <w:rsid w:val="00BD58B4"/>
    <w:rsid w:val="00BF0261"/>
    <w:rsid w:val="00C27E61"/>
    <w:rsid w:val="00C43175"/>
    <w:rsid w:val="00C61977"/>
    <w:rsid w:val="00C63531"/>
    <w:rsid w:val="00C75DF7"/>
    <w:rsid w:val="00C77E32"/>
    <w:rsid w:val="00C808EB"/>
    <w:rsid w:val="00C80AC7"/>
    <w:rsid w:val="00C93EBA"/>
    <w:rsid w:val="00C93F98"/>
    <w:rsid w:val="00CA05E8"/>
    <w:rsid w:val="00CC16F8"/>
    <w:rsid w:val="00CC2B6D"/>
    <w:rsid w:val="00CD567F"/>
    <w:rsid w:val="00CF1EA7"/>
    <w:rsid w:val="00CF2FA6"/>
    <w:rsid w:val="00CF6BE8"/>
    <w:rsid w:val="00D04520"/>
    <w:rsid w:val="00D37F3B"/>
    <w:rsid w:val="00D42591"/>
    <w:rsid w:val="00D55670"/>
    <w:rsid w:val="00D57A44"/>
    <w:rsid w:val="00D9631D"/>
    <w:rsid w:val="00DA56E3"/>
    <w:rsid w:val="00DC197C"/>
    <w:rsid w:val="00DD0501"/>
    <w:rsid w:val="00DF0D92"/>
    <w:rsid w:val="00E0162B"/>
    <w:rsid w:val="00E02640"/>
    <w:rsid w:val="00E16B55"/>
    <w:rsid w:val="00E35D47"/>
    <w:rsid w:val="00E76CF0"/>
    <w:rsid w:val="00E87986"/>
    <w:rsid w:val="00E95E52"/>
    <w:rsid w:val="00EA0A30"/>
    <w:rsid w:val="00EA68C9"/>
    <w:rsid w:val="00ED15AB"/>
    <w:rsid w:val="00EE3085"/>
    <w:rsid w:val="00EF37E9"/>
    <w:rsid w:val="00F038D0"/>
    <w:rsid w:val="00F16410"/>
    <w:rsid w:val="00F26DAC"/>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30</Pages>
  <Words>4496</Words>
  <Characters>25629</Characters>
  <Application>Microsoft Office Word</Application>
  <DocSecurity>0</DocSecurity>
  <Lines>213</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30065</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139</cp:revision>
  <dcterms:created xsi:type="dcterms:W3CDTF">2021-12-06T22:11:00Z</dcterms:created>
  <dcterms:modified xsi:type="dcterms:W3CDTF">2021-12-07T19:27:00Z</dcterms:modified>
</cp:coreProperties>
</file>