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v4.8 · 지도교수님·CTO(안수진 박사님) 전달용 · 교수님 미팅 자료 포함</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2026-10-14 08:xx KST (G2 4차 확증 + 1단계 R1·R1x·S0·S1 진단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2"/>
      </w:pPr>
      <w:r>
        <w:rPr>
          <w:rFonts w:ascii="맑은 고딕" w:hAnsi="맑은 고딕" w:eastAsia="맑은 고딕" w:cs="맑은 고딕"/>
          <w:b w:val="0"/>
        </w:rPr>
        <w:t>12-6. S1을 CTO 지표로 다시 분석 (10/14, 새 학습·생성 0)</w:t>
      </w:r>
    </w:p>
    <w:p>
      <w:r>
        <w:rPr>
          <w:rFonts w:ascii="맑은 고딕" w:hAnsi="맑은 고딕" w:eastAsia="맑은 고딕" w:cs="맑은 고딕"/>
          <w:b w:val="0"/>
        </w:rPr>
        <w:t xml:space="preserve">CTO 지침(CTS-434: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시드 반복을 반영한 문항 단위 cluster bootstrap, 세 시드 종합 matched−shuffled CI 하한 &gt; 0)은 S1 종료 뒤 전달되어, S1은 원래 계획 기준으로 실행됐다. 아래는 기존 문항별 채점을 CTO 지표로 다시 계산한 것이다(bootstrap 10,000회).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점검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 xml:space="preserve">⓪ 모든 조건 </w:t>
            </w:r>
            <w:r>
              <w:rPr>
                <w:rFonts w:ascii="Consolas" w:hAnsi="Consolas" w:eastAsia="Consolas" w:cs="Consolas"/>
                <w:b w:val="0"/>
                <w:sz w:val="18"/>
              </w:rPr>
              <w:t>\boxed</w:t>
            </w:r>
            <w:r>
              <w:rPr>
                <w:rFonts w:ascii="맑은 고딕" w:hAnsi="맑은 고딕" w:eastAsia="맑은 고딕" w:cs="맑은 고딕"/>
                <w:b w:val="0"/>
                <w:sz w:val="18"/>
              </w:rPr>
              <w:t xml:space="preserve"> 비율이 충분히 높고 비슷한가</w:t>
            </w:r>
          </w:p>
        </w:tc>
        <w:tc>
          <w:tcPr>
            <w:tcW w:type="dxa" w:w="3213"/>
          </w:tcPr>
          <w:p>
            <w:r>
              <w:rPr>
                <w:rFonts w:ascii="맑은 고딕" w:hAnsi="맑은 고딕" w:eastAsia="맑은 고딕" w:cs="맑은 고딕"/>
                <w:b w:val="0"/>
                <w:sz w:val="18"/>
              </w:rPr>
              <w:t>C 35.5%, A 26~44%, E 42~54%, shuffled 26~53%</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① A − E · lenient (주)</w:t>
            </w:r>
          </w:p>
        </w:tc>
        <w:tc>
          <w:tcPr>
            <w:tcW w:type="dxa" w:w="3213"/>
          </w:tcPr>
          <w:p>
            <w:r>
              <w:rPr>
                <w:rFonts w:ascii="맑은 고딕" w:hAnsi="맑은 고딕" w:eastAsia="맑은 고딕" w:cs="맑은 고딕"/>
                <w:b w:val="0"/>
                <w:sz w:val="18"/>
              </w:rPr>
              <w:t>−2.83%p, 95% CI [−4.50, −1.22]</w:t>
            </w:r>
          </w:p>
        </w:tc>
        <w:tc>
          <w:tcPr>
            <w:tcW w:type="dxa" w:w="3213"/>
          </w:tcPr>
          <w:p>
            <w:r>
              <w:rPr>
                <w:rFonts w:ascii="맑은 고딕" w:hAnsi="맑은 고딕" w:eastAsia="맑은 고딕" w:cs="맑은 고딕"/>
                <w:b w:val="0"/>
                <w:sz w:val="18"/>
              </w:rPr>
              <w:t>E 유의 우위</w:t>
            </w:r>
          </w:p>
        </w:tc>
      </w:tr>
      <w:tr>
        <w:tc>
          <w:tcPr>
            <w:tcW w:type="dxa" w:w="3213"/>
          </w:tcPr>
          <w:p>
            <w:r>
              <w:rPr>
                <w:rFonts w:ascii="맑은 고딕" w:hAnsi="맑은 고딕" w:eastAsia="맑은 고딕" w:cs="맑은 고딕"/>
                <w:b w:val="0"/>
                <w:sz w:val="18"/>
              </w:rPr>
              <w:t>① A − E · strict (보조)</w:t>
            </w:r>
          </w:p>
        </w:tc>
        <w:tc>
          <w:tcPr>
            <w:tcW w:type="dxa" w:w="3213"/>
          </w:tcPr>
          <w:p>
            <w:r>
              <w:rPr>
                <w:rFonts w:ascii="맑은 고딕" w:hAnsi="맑은 고딕" w:eastAsia="맑은 고딕" w:cs="맑은 고딕"/>
                <w:b w:val="0"/>
                <w:sz w:val="18"/>
              </w:rPr>
              <w:t>−2.50%p, CI [−4.06, −1.00]</w:t>
            </w:r>
          </w:p>
        </w:tc>
        <w:tc>
          <w:tcPr>
            <w:tcW w:type="dxa" w:w="3213"/>
          </w:tcPr>
          <w:p>
            <w:r>
              <w:rPr>
                <w:rFonts w:ascii="맑은 고딕" w:hAnsi="맑은 고딕" w:eastAsia="맑은 고딕" w:cs="맑은 고딕"/>
                <w:b w:val="0"/>
                <w:sz w:val="18"/>
              </w:rPr>
              <w:t>같은 방향</w:t>
            </w:r>
          </w:p>
        </w:tc>
      </w:tr>
      <w:tr>
        <w:tc>
          <w:tcPr>
            <w:tcW w:type="dxa" w:w="3213"/>
          </w:tcPr>
          <w:p>
            <w:r>
              <w:rPr>
                <w:rFonts w:ascii="맑은 고딕" w:hAnsi="맑은 고딕" w:eastAsia="맑은 고딕" w:cs="맑은 고딕"/>
                <w:b w:val="0"/>
                <w:sz w:val="18"/>
              </w:rPr>
              <w:t>② A matched − shuffled · lenient (핵심)</w:t>
            </w:r>
          </w:p>
        </w:tc>
        <w:tc>
          <w:tcPr>
            <w:tcW w:type="dxa" w:w="3213"/>
          </w:tcPr>
          <w:p>
            <w:r>
              <w:rPr>
                <w:rFonts w:ascii="맑은 고딕" w:hAnsi="맑은 고딕" w:eastAsia="맑은 고딕" w:cs="맑은 고딕"/>
                <w:b w:val="0"/>
                <w:sz w:val="18"/>
              </w:rPr>
              <w:t>+1.17%p, CI [−0.17, +2.50]</w:t>
            </w:r>
          </w:p>
        </w:tc>
        <w:tc>
          <w:tcPr>
            <w:tcW w:type="dxa" w:w="3213"/>
          </w:tcPr>
          <w:p>
            <w:r>
              <w:rPr>
                <w:rFonts w:ascii="맑은 고딕" w:hAnsi="맑은 고딕" w:eastAsia="맑은 고딕" w:cs="맑은 고딕"/>
                <w:b w:val="0"/>
                <w:sz w:val="18"/>
              </w:rPr>
              <w:t>불충족 (하한 &lt; 0)</w:t>
            </w:r>
          </w:p>
        </w:tc>
      </w:tr>
      <w:tr>
        <w:tc>
          <w:tcPr>
            <w:tcW w:type="dxa" w:w="3213"/>
          </w:tcPr>
          <w:p>
            <w:r>
              <w:rPr>
                <w:rFonts w:ascii="맑은 고딕" w:hAnsi="맑은 고딕" w:eastAsia="맑은 고딕" w:cs="맑은 고딕"/>
                <w:b w:val="0"/>
                <w:sz w:val="18"/>
              </w:rPr>
              <w:t>② A matched − shuffled · strict (보조)</w:t>
            </w:r>
          </w:p>
        </w:tc>
        <w:tc>
          <w:tcPr>
            <w:tcW w:type="dxa" w:w="3213"/>
          </w:tcPr>
          <w:p>
            <w:r>
              <w:rPr>
                <w:rFonts w:ascii="맑은 고딕" w:hAnsi="맑은 고딕" w:eastAsia="맑은 고딕" w:cs="맑은 고딕"/>
                <w:b w:val="0"/>
                <w:sz w:val="18"/>
              </w:rPr>
              <w:t>+0.89%p, CI [−0.33, +2.11]</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참고 · E matched − shuffled · lenient</w:t>
            </w:r>
          </w:p>
        </w:tc>
        <w:tc>
          <w:tcPr>
            <w:tcW w:type="dxa" w:w="3213"/>
          </w:tcPr>
          <w:p>
            <w:r>
              <w:rPr>
                <w:rFonts w:ascii="맑은 고딕" w:hAnsi="맑은 고딕" w:eastAsia="맑은 고딕" w:cs="맑은 고딕"/>
                <w:b w:val="0"/>
                <w:sz w:val="18"/>
              </w:rPr>
              <w:t>−0.89%p, CI [−2.33, +0.56]</w:t>
            </w:r>
          </w:p>
        </w:tc>
        <w:tc>
          <w:tcPr>
            <w:tcW w:type="dxa" w:w="3213"/>
          </w:tcPr>
          <w:p>
            <w:r>
              <w:rPr>
                <w:rFonts w:ascii="맑은 고딕" w:hAnsi="맑은 고딕" w:eastAsia="맑은 고딕" w:cs="맑은 고딕"/>
                <w:b w:val="0"/>
                <w:sz w:val="18"/>
              </w:rPr>
              <w:t>차이 없음</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shared/reports/RESULT-S1-format-fixed-20261014.md</w:t>
      </w:r>
      <w:r>
        <w:rPr>
          <w:rFonts w:ascii="맑은 고딕" w:hAnsi="맑은 고딕" w:eastAsia="맑은 고딕" w:cs="맑은 고딕"/>
          <w:b w:val="0"/>
          <w:color w:val="5A6573"/>
          <w:sz w:val="18"/>
        </w:rPr>
        <w:t xml:space="preserve"> §7, 원자료 </w:t>
      </w:r>
      <w:r>
        <w:rPr>
          <w:rFonts w:ascii="Consolas" w:hAnsi="Consolas" w:eastAsia="Consolas" w:cs="Consolas"/>
          <w:b w:val="0"/>
          <w:color w:val="5A6573"/>
          <w:sz w:val="18"/>
        </w:rPr>
        <w:t>shared/reports/s1/s1_items.json</w:t>
      </w:r>
      <w:r>
        <w:rPr>
          <w:rFonts w:ascii="맑은 고딕" w:hAnsi="맑은 고딕" w:eastAsia="맑은 고딕" w:cs="맑은 고딕"/>
          <w:b w:val="0"/>
          <w:color w:val="5A6573"/>
          <w:sz w:val="18"/>
        </w:rPr>
        <w:t>. CTO 지침대로 S2는 바로 시작하지 않고 결과와 진단부터 공유한다.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결과 삼분류와 영향 (교수님 미팅용 · CTO 의견 CTS-435)</w:t>
      </w:r>
    </w:p>
    <w:p>
      <w:r>
        <w:rPr>
          <w:rFonts w:ascii="맑은 고딕" w:hAnsi="맑은 고딕" w:eastAsia="맑은 고딕" w:cs="맑은 고딕"/>
          <w:b w:val="0"/>
        </w:rPr>
        <w:t xml:space="preserve">CTO 의견(10/14): 추가 실험 없이 유지할 결과, 폐기·재해석할 결과, CTS·System 1.5에 미치는 영향을 정리해 교수님과 논의한 뒤 "진단 연구로 마무리"와 "새 구조로 재시작" 중 하나를 먼저 결정한다. 전문: </w:t>
      </w:r>
      <w:r>
        <w:rPr>
          <w:rFonts w:ascii="Consolas" w:hAnsi="Consolas" w:eastAsia="Consolas" w:cs="Consolas"/>
          <w:b w:val="0"/>
          <w:sz w:val="18"/>
        </w:rPr>
        <w:t>shared/reports/TRIAGE-G2-results-20261014.md</w:t>
      </w:r>
      <w:r>
        <w:rPr>
          <w:rFonts w:ascii="맑은 고딕" w:hAnsi="맑은 고딕" w:eastAsia="맑은 고딕" w:cs="맑은 고딕"/>
          <w:b w:val="0"/>
        </w:rPr>
        <w:t>.</w:t>
      </w:r>
    </w:p>
    <w:p>
      <w:pPr>
        <w:pStyle w:val="Heading2"/>
      </w:pPr>
      <w:r>
        <w:rPr>
          <w:rFonts w:ascii="맑은 고딕" w:hAnsi="맑은 고딕" w:eastAsia="맑은 고딕" w:cs="맑은 고딕"/>
          <w:b w:val="0"/>
        </w:rPr>
        <w:t>14-1. 유지할 수 있는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근거</w:t>
            </w:r>
          </w:p>
        </w:tc>
      </w:tr>
      <w:tr>
        <w:tc>
          <w:tcPr>
            <w:tcW w:type="dxa" w:w="4819"/>
          </w:tcPr>
          <w:p>
            <w:r>
              <w:rPr>
                <w:rFonts w:ascii="맑은 고딕" w:hAnsi="맑은 고딕" w:eastAsia="맑은 고딕" w:cs="맑은 고딕"/>
                <w:b/>
                <w:sz w:val="18"/>
              </w:rPr>
              <w:t>G1 정본 DEQ의 수렴·변별</w:t>
            </w:r>
          </w:p>
        </w:tc>
        <w:tc>
          <w:tcPr>
            <w:tcW w:type="dxa" w:w="4819"/>
          </w:tcPr>
          <w:p>
            <w:r>
              <w:rPr>
                <w:rFonts w:ascii="맑은 고딕" w:hAnsi="맑은 고딕" w:eastAsia="맑은 고딕" w:cs="맑은 고딕"/>
                <w:b w:val="0"/>
                <w:sz w:val="18"/>
              </w:rPr>
              <w:t>신규 520 중 517 수렴, 최근접 일치 519/520, 평균 cos 0.569. 디코더와 무관한 역학계 성질</w:t>
            </w:r>
          </w:p>
        </w:tc>
      </w:tr>
      <w:tr>
        <w:tc>
          <w:tcPr>
            <w:tcW w:type="dxa" w:w="4819"/>
          </w:tcPr>
          <w:p>
            <w:r>
              <w:rPr>
                <w:rFonts w:ascii="맑은 고딕" w:hAnsi="맑은 고딕" w:eastAsia="맑은 고딕" w:cs="맑은 고딕"/>
                <w:b w:val="0"/>
                <w:sz w:val="18"/>
              </w:rPr>
              <w:t>근본 원인 진단 1: 투영기 출력의 크기·상수 지배</w:t>
            </w:r>
          </w:p>
        </w:tc>
        <w:tc>
          <w:tcPr>
            <w:tcW w:type="dxa" w:w="4819"/>
          </w:tcPr>
          <w:p>
            <w:r>
              <w:rPr>
                <w:rFonts w:ascii="맑은 고딕" w:hAnsi="맑은 고딕" w:eastAsia="맑은 고딕" w:cs="맑은 고딕"/>
                <w:b w:val="0"/>
                <w:sz w:val="18"/>
              </w:rPr>
              <w:t>칸당 norm 1,258~1,945(단어 50.5), 문항 고유 비율 2~4%</w:t>
            </w:r>
          </w:p>
        </w:tc>
      </w:tr>
      <w:tr>
        <w:tc>
          <w:tcPr>
            <w:tcW w:type="dxa" w:w="4819"/>
          </w:tcPr>
          <w:p>
            <w:r>
              <w:rPr>
                <w:rFonts w:ascii="맑은 고딕" w:hAnsi="맑은 고딕" w:eastAsia="맑은 고딕" w:cs="맑은 고딕"/>
                <w:b w:val="0"/>
                <w:sz w:val="18"/>
              </w:rPr>
              <w:t>근본 원인 진단 2: 잠재가 공통 soft prompt로 붕괴</w:t>
            </w:r>
          </w:p>
        </w:tc>
        <w:tc>
          <w:tcPr>
            <w:tcW w:type="dxa" w:w="4819"/>
          </w:tcPr>
          <w:p>
            <w:r>
              <w:rPr>
                <w:rFonts w:ascii="맑은 고딕" w:hAnsi="맑은 고딕" w:eastAsia="맑은 고딕" w:cs="맑은 고딕"/>
                <w:b w:val="0"/>
                <w:sz w:val="18"/>
              </w:rPr>
              <w:t>12 디코더에서 자기≈남≈평균 잠재; 문항 정보 통과량과 정확도 상관 −0.85</w:t>
            </w:r>
          </w:p>
        </w:tc>
      </w:tr>
      <w:tr>
        <w:tc>
          <w:tcPr>
            <w:tcW w:type="dxa" w:w="4819"/>
          </w:tcPr>
          <w:p>
            <w:r>
              <w:rPr>
                <w:rFonts w:ascii="맑은 고딕" w:hAnsi="맑은 고딕" w:eastAsia="맑은 고딕" w:cs="맑은 고딕"/>
                <w:b w:val="0"/>
                <w:sz w:val="18"/>
              </w:rPr>
              <w:t>형식 혼입의 규명</w:t>
            </w:r>
          </w:p>
        </w:tc>
        <w:tc>
          <w:tcPr>
            <w:tcW w:type="dxa" w:w="4819"/>
          </w:tcPr>
          <w:p>
            <w:r>
              <w:rPr>
                <w:rFonts w:ascii="맑은 고딕" w:hAnsi="맑은 고딕" w:eastAsia="맑은 고딕" w:cs="맑은 고딕"/>
                <w:b w:val="0"/>
                <w:sz w:val="18"/>
              </w:rPr>
              <w:t xml:space="preserve">strict ↔ </w:t>
            </w:r>
            <w:r>
              <w:rPr>
                <w:rFonts w:ascii="Consolas" w:hAnsi="Consolas" w:eastAsia="Consolas" w:cs="Consolas"/>
                <w:b w:val="0"/>
                <w:sz w:val="18"/>
              </w:rPr>
              <w:t>\boxed</w:t>
            </w:r>
            <w:r>
              <w:rPr>
                <w:rFonts w:ascii="맑은 고딕" w:hAnsi="맑은 고딕" w:eastAsia="맑은 고딕" w:cs="맑은 고딕"/>
                <w:b w:val="0"/>
                <w:sz w:val="18"/>
              </w:rPr>
              <w:t xml:space="preserve"> 상관 0.94; 형식 지킨 답 안 정답률 A≈E≈B1(약 18%)</w:t>
            </w:r>
          </w:p>
        </w:tc>
      </w:tr>
      <w:tr>
        <w:tc>
          <w:tcPr>
            <w:tcW w:type="dxa" w:w="4819"/>
          </w:tcPr>
          <w:p>
            <w:r>
              <w:rPr>
                <w:rFonts w:ascii="맑은 고딕" w:hAnsi="맑은 고딕" w:eastAsia="맑은 고딕" w:cs="맑은 고딕"/>
                <w:b w:val="0"/>
                <w:sz w:val="18"/>
              </w:rPr>
              <w:t>절차·방법론</w:t>
            </w:r>
          </w:p>
        </w:tc>
        <w:tc>
          <w:tcPr>
            <w:tcW w:type="dxa" w:w="4819"/>
          </w:tcPr>
          <w:p>
            <w:r>
              <w:rPr>
                <w:rFonts w:ascii="맑은 고딕" w:hAnsi="맑은 고딕" w:eastAsia="맑은 고딕" w:cs="맑은 고딕"/>
                <w:b w:val="0"/>
                <w:sz w:val="18"/>
              </w:rPr>
              <w:t>사전등록 4건, 새 문항 id 전수 검사, 재개 규칙, 원시 출력 포인터. 다음 구조에 그대로 사용 가능</w:t>
            </w:r>
          </w:p>
        </w:tc>
      </w:tr>
    </w:tbl>
    <w:p/>
    <w:p>
      <w:pPr>
        <w:pStyle w:val="Heading2"/>
      </w:pPr>
      <w:r>
        <w:rPr>
          <w:rFonts w:ascii="맑은 고딕" w:hAnsi="맑은 고딕" w:eastAsia="맑은 고딕" w:cs="맑은 고딕"/>
          <w:b w:val="0"/>
        </w:rPr>
        <w:t>14-2. 폐기하거나 재해석해야 하는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재해석</w:t>
            </w:r>
          </w:p>
        </w:tc>
      </w:tr>
      <w:tr>
        <w:tc>
          <w:tcPr>
            <w:tcW w:type="dxa" w:w="4819"/>
          </w:tcPr>
          <w:p>
            <w:r>
              <w:rPr>
                <w:rFonts w:ascii="맑은 고딕" w:hAnsi="맑은 고딕" w:eastAsia="맑은 고딕" w:cs="맑은 고딕"/>
                <w:b w:val="0"/>
                <w:sz w:val="18"/>
              </w:rPr>
              <w:t>G2v4 "기준 충족"</w:t>
            </w:r>
          </w:p>
        </w:tc>
        <w:tc>
          <w:tcPr>
            <w:tcW w:type="dxa" w:w="4819"/>
          </w:tcPr>
          <w:p>
            <w:r>
              <w:rPr>
                <w:rFonts w:ascii="맑은 고딕" w:hAnsi="맑은 고딕" w:eastAsia="맑은 고딕" w:cs="맑은 고딕"/>
                <w:b w:val="0"/>
                <w:sz w:val="18"/>
              </w:rPr>
              <w:t>시드 2047에서 A 디코더가 잠재를 잘 무시해 형식을 지킨 결과. 수정형 시스템의 자체 기준 충족으로만 기록, 원래 GOAL의 G2 통과 아님</w:t>
            </w:r>
          </w:p>
        </w:tc>
      </w:tr>
      <w:tr>
        <w:tc>
          <w:tcPr>
            <w:tcW w:type="dxa" w:w="4819"/>
          </w:tcPr>
          <w:p>
            <w:r>
              <w:rPr>
                <w:rFonts w:ascii="맑은 고딕" w:hAnsi="맑은 고딕" w:eastAsia="맑은 고딕" w:cs="맑은 고딕"/>
                <w:b w:val="0"/>
                <w:sz w:val="18"/>
              </w:rPr>
              <w:t>1~4차 게이트 2·3의 A − C 우위</w:t>
            </w:r>
          </w:p>
        </w:tc>
        <w:tc>
          <w:tcPr>
            <w:tcW w:type="dxa" w:w="4819"/>
          </w:tcPr>
          <w:p>
            <w:r>
              <w:rPr>
                <w:rFonts w:ascii="맑은 고딕" w:hAnsi="맑은 고딕" w:eastAsia="맑은 고딕" w:cs="맑은 고딕"/>
                <w:b w:val="0"/>
                <w:sz w:val="18"/>
              </w:rPr>
              <w:t xml:space="preserve">C가 형식 지시 없이 </w:t>
            </w:r>
            <w:r>
              <w:rPr>
                <w:rFonts w:ascii="Consolas" w:hAnsi="Consolas" w:eastAsia="Consolas" w:cs="Consolas"/>
                <w:b w:val="0"/>
                <w:sz w:val="18"/>
              </w:rPr>
              <w:t>\boxed</w:t>
            </w:r>
            <w:r>
              <w:rPr>
                <w:rFonts w:ascii="맑은 고딕" w:hAnsi="맑은 고딕" w:eastAsia="맑은 고딕" w:cs="맑은 고딕"/>
                <w:b w:val="0"/>
                <w:sz w:val="18"/>
              </w:rPr>
              <w:t>를 거의 쓰지 않은 형식 효과. 같은 형식 지시를 주면 C(12.83%)가 모든 디코더(3.8~8.7%)보다 높음</w:t>
            </w:r>
          </w:p>
        </w:tc>
      </w:tr>
      <w:tr>
        <w:tc>
          <w:tcPr>
            <w:tcW w:type="dxa" w:w="4819"/>
          </w:tcPr>
          <w:p>
            <w:r>
              <w:rPr>
                <w:rFonts w:ascii="맑은 고딕" w:hAnsi="맑은 고딕" w:eastAsia="맑은 고딕" w:cs="맑은 고딕"/>
                <w:b w:val="0"/>
                <w:sz w:val="18"/>
              </w:rPr>
              <w:t>M7 개발 NLL의 "A만 문항 특이성"</w:t>
            </w:r>
          </w:p>
        </w:tc>
        <w:tc>
          <w:tcPr>
            <w:tcW w:type="dxa" w:w="4819"/>
          </w:tcPr>
          <w:p>
            <w:r>
              <w:rPr>
                <w:rFonts w:ascii="맑은 고딕" w:hAnsi="맑은 고딕" w:eastAsia="맑은 고딕" w:cs="맑은 고딕"/>
                <w:b w:val="0"/>
                <w:sz w:val="18"/>
              </w:rPr>
              <w:t>정확도로 옮겨지지 않았고 시드 의존적</w:t>
            </w:r>
          </w:p>
        </w:tc>
      </w:tr>
      <w:tr>
        <w:tc>
          <w:tcPr>
            <w:tcW w:type="dxa" w:w="4819"/>
          </w:tcPr>
          <w:p>
            <w:r>
              <w:rPr>
                <w:rFonts w:ascii="맑은 고딕" w:hAnsi="맑은 고딕" w:eastAsia="맑은 고딕" w:cs="맑은 고딕"/>
                <w:b w:val="0"/>
                <w:sz w:val="18"/>
              </w:rPr>
              <w:t>G2 게이트 설계</w:t>
            </w:r>
          </w:p>
        </w:tc>
        <w:tc>
          <w:tcPr>
            <w:tcW w:type="dxa" w:w="4819"/>
          </w:tcPr>
          <w:p>
            <w:r>
              <w:rPr>
                <w:rFonts w:ascii="맑은 고딕" w:hAnsi="맑은 고딕" w:eastAsia="맑은 고딕" w:cs="맑은 고딕"/>
                <w:b w:val="0"/>
                <w:sz w:val="18"/>
              </w:rPr>
              <w:t>strict·형식 지시 없음·shuffled 보조 설계는 잠재 기여를 재지 못함. lenient 주 지표, 형식 고정, matched−shuffled 주 게이트, 시드 반복으로 재설계 필요</w:t>
            </w:r>
          </w:p>
        </w:tc>
      </w:tr>
      <w:tr>
        <w:tc>
          <w:tcPr>
            <w:tcW w:type="dxa" w:w="4819"/>
          </w:tcPr>
          <w:p>
            <w:r>
              <w:rPr>
                <w:rFonts w:ascii="맑은 고딕" w:hAnsi="맑은 고딕" w:eastAsia="맑은 고딕" w:cs="맑은 고딕"/>
                <w:b w:val="0"/>
                <w:sz w:val="18"/>
              </w:rPr>
              <w:t>"잠재에 정보가 충분하다"</w:t>
            </w:r>
          </w:p>
        </w:tc>
        <w:tc>
          <w:tcPr>
            <w:tcW w:type="dxa" w:w="4819"/>
          </w:tcPr>
          <w:p>
            <w:r>
              <w:rPr>
                <w:rFonts w:ascii="맑은 고딕" w:hAnsi="맑은 고딕" w:eastAsia="맑은 고딕" w:cs="맑은 고딕"/>
                <w:b w:val="0"/>
                <w:sz w:val="18"/>
              </w:rPr>
              <w:t>문항마다 다르지만(지문) LM이 읽을 수 있는 내용은 거의 없음</w:t>
            </w:r>
          </w:p>
        </w:tc>
      </w:tr>
    </w:tbl>
    <w:p/>
    <w:p>
      <w:pPr>
        <w:pStyle w:val="Heading2"/>
      </w:pPr>
      <w:r>
        <w:rPr>
          <w:rFonts w:ascii="맑은 고딕" w:hAnsi="맑은 고딕" w:eastAsia="맑은 고딕" w:cs="맑은 고딕"/>
          <w:b w:val="0"/>
        </w:rPr>
        <w:t>14-3. 영향과 CC의 견해</w:t>
      </w:r>
    </w:p>
    <w:p>
      <w:pPr>
        <w:pStyle w:val="ListBullet"/>
      </w:pPr>
      <w:r>
        <w:rPr>
          <w:rFonts w:ascii="맑은 고딕" w:hAnsi="맑은 고딕" w:eastAsia="맑은 고딕" w:cs="맑은 고딕"/>
          <w:b/>
        </w:rPr>
        <w:t>핵심 가설("DEQ 반복이 문항별 유용 정보를 추가")은 증명되지 않았다.</w:t>
      </w:r>
      <w:r>
        <w:rPr>
          <w:rFonts w:ascii="맑은 고딕" w:hAnsi="맑은 고딕" w:eastAsia="맑은 고딕" w:cs="맑은 고딕"/>
          <w:b w:val="0"/>
        </w:rPr>
        <w:t xml:space="preserve"> 같은 형식 조건에서는 잠재 prefix 주입이 순정 모델보다 성능을 낮춘다.</w:t>
      </w:r>
    </w:p>
    <w:p>
      <w:pPr>
        <w:pStyle w:val="ListBullet"/>
      </w:pPr>
      <w:r>
        <w:rPr>
          <w:rFonts w:ascii="맑은 고딕" w:hAnsi="맑은 고딕" w:eastAsia="맑은 고딕" w:cs="맑은 고딕"/>
          <w:b/>
        </w:rPr>
        <w:t>영향:</w:t>
      </w:r>
      <w:r>
        <w:rPr>
          <w:rFonts w:ascii="맑은 고딕" w:hAnsi="맑은 고딕" w:eastAsia="맑은 고딕" w:cs="맑은 고딕"/>
          <w:b w:val="0"/>
        </w:rPr>
        <w:t xml:space="preserve"> Stage 1 DEQ 백본은 역학계로서 유효(G1)하나 "디코딩에 유용한 표현"이라는 용도는 미입증. 잠재→LM prefix 연결부(v3.6·V2)는 재사용 불가. z*의 내용에 기대는 하류 구성 요소가 있다면 전제 재검토. 평가 프로토콜은 형식 고정·lenient·shuffled 주 게이트·시드 ≥ 3·cluster bootstrap을 기본으로. (System 1.5 로드맵은 공유 문서에 없어 교수님·CTO 확인 필요.)</w:t>
      </w:r>
    </w:p>
    <w:p>
      <w:pPr>
        <w:pStyle w:val="ListBullet"/>
      </w:pPr>
      <w:r>
        <w:rPr>
          <w:rFonts w:ascii="맑은 고딕" w:hAnsi="맑은 고딕" w:eastAsia="맑은 고딕" w:cs="맑은 고딕"/>
          <w:b/>
        </w:rPr>
        <w:t>현재 구조에서 아직 확인할 가치가 있는 것:</w:t>
      </w:r>
      <w:r>
        <w:rPr>
          <w:rFonts w:ascii="맑은 고딕" w:hAnsi="맑은 고딕" w:eastAsia="맑은 고딕" w:cs="맑은 고딕"/>
          <w:b w:val="0"/>
        </w:rPr>
        <w:t xml:space="preserve"> 결정 뒤에 한다면 S2(오라클 잠재로 통로 용량 점검, 1~2일) 하나다. 연결부가 병목인지 DEQ 잠재의 내용이 병목인지 가르므로, "진단 연구로 마무리"와 "새 구조로 재시작" 사이의 결정을 데이터로 뒷받침한다. S1의 matched−shuffled +1.17%p(CI 하한 −0.17)는 시드를 더해 볼 수 있으나, 넘더라도 "잠재가 미약하게 읽힌다" 이상의 의미는 없다. 그 외(A 안정화, LoRA, S3, IFT)는 지금 자료로는 가치가 낮다.</w:t>
      </w:r>
    </w:p>
    <w:p>
      <w:pPr>
        <w:pStyle w:val="ListBullet"/>
      </w:pPr>
      <w:r>
        <w:rPr>
          <w:rFonts w:ascii="맑은 고딕" w:hAnsi="맑은 고딕" w:eastAsia="맑은 고딕" w:cs="맑은 고딕"/>
          <w:b/>
        </w:rPr>
        <w:t>종합:</w:t>
      </w:r>
      <w:r>
        <w:rPr>
          <w:rFonts w:ascii="맑은 고딕" w:hAnsi="맑은 고딕" w:eastAsia="맑은 고딕" w:cs="맑은 고딕"/>
          <w:b w:val="0"/>
        </w:rPr>
        <w:t xml:space="preserve"> 현재 구조로 G2를 통과시키려는 시도는 더 하지 않는 것이 맞다. 두 선택지의 비교는 전문 §6.</w:t>
      </w:r>
    </w:p>
    <w:p>
      <w:pPr>
        <w:pStyle w:val="Heading1"/>
      </w:pPr>
      <w:r>
        <w:rPr>
          <w:rFonts w:ascii="맑은 고딕" w:hAnsi="맑은 고딕" w:eastAsia="맑은 고딕" w:cs="맑은 고딕"/>
          <w:b w:val="0"/>
        </w:rPr>
        <w:t>15.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 (CTS-435)</w:t>
            </w:r>
          </w:p>
        </w:tc>
        <w:tc>
          <w:tcPr>
            <w:tcW w:type="dxa" w:w="3213"/>
          </w:tcPr>
          <w:p>
            <w:r>
              <w:rPr>
                <w:rFonts w:ascii="맑은 고딕" w:hAnsi="맑은 고딕" w:eastAsia="맑은 고딕" w:cs="맑은 고딕"/>
                <w:b w:val="0"/>
                <w:sz w:val="18"/>
              </w:rPr>
              <w:t>현재 구조를 진단 연구로 마무리할지, 새 구조로 다시 시작할지. CC 제안: 결정 전 S2(통로 용량 점검) 1회로 근거 보강 (14-3절)</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 → CTO 의견(CTS-432·435)에 따라 "수정형 시스템의 자체 기준 충족"으로 정리, 원래 G2는 미통과</w:t>
            </w:r>
          </w:p>
        </w:tc>
        <w:tc>
          <w:tcPr>
            <w:tcW w:type="dxa" w:w="3213"/>
          </w:tcPr>
          <w:p>
            <w:r>
              <w:rPr>
                <w:rFonts w:ascii="맑은 고딕" w:hAnsi="맑은 고딕" w:eastAsia="맑은 고딕" w:cs="맑은 고딕"/>
                <w:b w:val="0"/>
                <w:sz w:val="18"/>
              </w:rPr>
              <w:t>정리됨</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