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Light" w:cs="Calibri Light" w:eastAsia="Calibri Light" w:hAnsi="Calibri Light"/>
          <w:b/>
          <w:bCs/>
          <w:color w:val="1F4E79"/>
          <w:sz w:val="56"/>
          <w:szCs w:val="56"/>
        </w:rPr>
        <w:t xml:space="preserve">Lineamientos de Desarrollo</w:t>
      </w:r>
    </w:p>
    <w:p>
      <w:pPr>
        <w:spacing w:after="120"/>
        <w:jc w:val="center"/>
      </w:pPr>
      <w:r>
        <w:rPr>
          <w:rFonts w:ascii="Calibri Light" w:cs="Calibri Light" w:eastAsia="Calibri Light" w:hAnsi="Calibri Light"/>
          <w:color w:val="595959"/>
          <w:sz w:val="28"/>
          <w:szCs w:val="28"/>
        </w:rPr>
        <w:t xml:space="preserve">C# · .NET · Clean Architecture · Blazor WebAssembly · Oracle</w:t>
      </w:r>
    </w:p>
    <w:p>
      <w:pPr>
        <w:spacing w:after="120"/>
        <w:jc w:val="center"/>
      </w:pPr>
      <w:r>
        <w:rPr>
          <w:rFonts w:ascii="Calibri Light" w:cs="Calibri Light" w:eastAsia="Calibri Light" w:hAnsi="Calibri Light"/>
          <w:color w:val="595959"/>
          <w:sz w:val="28"/>
          <w:szCs w:val="28"/>
        </w:rPr>
        <w:t xml:space="preserve">Convenciones de código, front-end, esquema de base de datos y stored procedures</w:t>
      </w:r>
    </w:p>
    <w:p>
      <w:pPr>
        <w:spacing w:before="600"/>
        <w:jc w:val="center"/>
      </w:pPr>
      <w:r>
        <w:rPr>
          <w:i/>
          <w:iCs/>
          <w:color w:val="595959"/>
          <w:sz w:val="20"/>
          <w:szCs w:val="20"/>
        </w:rPr>
        <w:t xml:space="preserve">Versión 1.0 — Documento vivo</w:t>
      </w:r>
    </w:p>
    <w:p>
      <w:r>
        <w:br w:type="page"/>
      </w:r>
    </w:p>
    <w:p>
      <w:pPr>
        <w:pStyle w:val="Heading1"/>
        <w:spacing w:after="160" w:before="360"/>
      </w:pPr>
      <w:r>
        <w:t xml:space="preserve">Contenido</w:t>
      </w:r>
    </w:p>
    <w:p>
      <w:pPr>
        <w:spacing w:after="240"/>
      </w:pPr>
      <w:r>
        <w:rPr>
          <w:i/>
          <w:iCs/>
          <w:color w:val="595959"/>
          <w:sz w:val="18"/>
          <w:szCs w:val="18"/>
        </w:rPr>
        <w:t xml:space="preserve">Si el índice aparece vacío, ubica el cursor sobre él y presiona F9 para actualizarlo.</w:t>
      </w:r>
    </w:p>
    <w:sdt>
      <w:sdtPr>
        <w:alias w:val="Tabla de contenido"/>
      </w:sdtPr>
      <w:sdtContent>
        <w:p>
          <w:r>
            <w:fldChar w:fldCharType="begin" w:dirty="true"/>
            <w:instrText xml:space="preserve">TOC \o "1-3"</w:instrText>
            <w:fldChar w:fldCharType="separate"/>
          </w:r>
        </w:p>
        <w:p>
          <w:r>
            <w:fldChar w:fldCharType="end"/>
          </w:r>
        </w:p>
      </w:sdtContent>
    </w:sdt>
    <w:p>
      <w:r>
        <w:br w:type="page"/>
      </w:r>
    </w:p>
    <w:p>
      <w:pPr>
        <w:pStyle w:val="Heading1"/>
        <w:spacing w:after="160" w:before="360"/>
      </w:pPr>
      <w:r>
        <w:t xml:space="preserve">1. Propósito y alcance</w:t>
      </w:r>
    </w:p>
    <w:p>
      <w:pPr>
        <w:spacing w:after="120" w:line="276"/>
        <w:jc w:val="both"/>
      </w:pPr>
      <w:r>
        <w:rPr>
          <w:sz w:val="22"/>
          <w:szCs w:val="22"/>
        </w:rPr>
        <w:t xml:space="preserve">Este documento define los lineamientos técnicos obligatorios para el desarrollo de aplicaciones en C# sobre .NET, siguiendo Clean Architecture, con persistencia en Oracle mediante Entity Framework Core y stored procedures.</w:t>
      </w:r>
    </w:p>
    <w:p>
      <w:pPr>
        <w:spacing w:after="120" w:line="276"/>
        <w:jc w:val="both"/>
      </w:pPr>
      <w:r>
        <w:rPr>
          <w:sz w:val="22"/>
          <w:szCs w:val="22"/>
        </w:rPr>
        <w:t xml:space="preserve">Su objetivo es que cualquier desarrollador pueda leer código o una consulta escrita por otro miembro del equipo y entenderla sin necesidad de contexto adicional. La consistencia prima sobre la preferencia personal.</w:t>
      </w:r>
    </w:p>
    <w:p>
      <w:pPr>
        <w:pStyle w:val="Heading2"/>
        <w:spacing w:after="120" w:before="260"/>
      </w:pPr>
      <w:r>
        <w:t xml:space="preserve">1.1 Cómo leer este documento</w:t>
      </w:r>
    </w:p>
    <w:p>
      <w:pPr>
        <w:pStyle w:val="ListParagraph"/>
        <w:numPr>
          <w:ilvl w:val="0"/>
          <w:numId w:val="2"/>
        </w:numPr>
        <w:spacing w:after="60" w:line="276"/>
      </w:pPr>
      <w:r>
        <w:rPr>
          <w:b/>
          <w:bCs/>
          <w:sz w:val="22"/>
          <w:szCs w:val="22"/>
        </w:rPr>
        <w:t xml:space="preserve">DEBE</w:t>
      </w:r>
      <w:r>
        <w:rPr>
          <w:sz w:val="22"/>
          <w:szCs w:val="22"/>
        </w:rPr>
        <w:t xml:space="preserve"> / </w:t>
      </w:r>
      <w:r>
        <w:rPr>
          <w:b/>
          <w:bCs/>
          <w:sz w:val="22"/>
          <w:szCs w:val="22"/>
        </w:rPr>
        <w:t xml:space="preserve">NO DEBE</w:t>
      </w:r>
      <w:r>
        <w:rPr>
          <w:sz w:val="22"/>
          <w:szCs w:val="22"/>
        </w:rPr>
        <w:t xml:space="preserve">: regla obligatoria. Su incumplimiento bloquea la aprobación del Pull Request.</w:t>
      </w:r>
    </w:p>
    <w:p>
      <w:pPr>
        <w:pStyle w:val="ListParagraph"/>
        <w:numPr>
          <w:ilvl w:val="0"/>
          <w:numId w:val="2"/>
        </w:numPr>
        <w:spacing w:after="60" w:line="276"/>
      </w:pPr>
      <w:r>
        <w:rPr>
          <w:b/>
          <w:bCs/>
          <w:sz w:val="22"/>
          <w:szCs w:val="22"/>
        </w:rPr>
        <w:t xml:space="preserve">DEBERÍA</w:t>
      </w:r>
      <w:r>
        <w:rPr>
          <w:sz w:val="22"/>
          <w:szCs w:val="22"/>
        </w:rPr>
        <w:t xml:space="preserve">: recomendación fuerte. Puede omitirse con justificación documentada en el PR.</w:t>
      </w:r>
    </w:p>
    <w:p>
      <w:pPr>
        <w:pStyle w:val="ListParagraph"/>
        <w:numPr>
          <w:ilvl w:val="0"/>
          <w:numId w:val="2"/>
        </w:numPr>
        <w:spacing w:after="60" w:line="276"/>
      </w:pPr>
      <w:r>
        <w:rPr>
          <w:b/>
          <w:bCs/>
          <w:sz w:val="22"/>
          <w:szCs w:val="22"/>
        </w:rPr>
        <w:t xml:space="preserve">PUEDE</w:t>
      </w:r>
      <w:r>
        <w:rPr>
          <w:sz w:val="22"/>
          <w:szCs w:val="22"/>
        </w:rPr>
        <w:t xml:space="preserve">: opción válida a criterio del equipo.</w:t>
      </w:r>
    </w:p>
    <w:p>
      <w:pPr>
        <w:pStyle w:val="Heading2"/>
        <w:spacing w:after="120" w:before="260"/>
      </w:pPr>
      <w:r>
        <w:t xml:space="preserve">1.2 Stack de referencia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6400"/>
      </w:tblGrid>
      <w:tr>
        <w:tc>
          <w:tcPr>
            <w:tcW w:type="dxa" w:w="2600"/>
            <w:gridSpan w:val="1"/>
            <w:shd w:fill="DCE6F1" w:val="clear"/>
            <w:tcMar>
              <w:top w:type="dxa" w:w="60"/>
              <w:left w:type="dxa" w:w="100"/>
              <w:bottom w:type="dxa" w:w="60"/>
              <w:right w:type="dxa" w:w="100"/>
            </w:tcMar>
          </w:tcPr>
          <w:p>
            <w:pPr>
              <w:spacing w:after="0"/>
            </w:pPr>
            <w:r>
              <w:rPr>
                <w:b/>
                <w:bCs/>
                <w:sz w:val="19"/>
                <w:szCs w:val="19"/>
              </w:rPr>
              <w:t xml:space="preserve">Componente</w:t>
            </w:r>
          </w:p>
        </w:tc>
        <w:tc>
          <w:tcPr>
            <w:tcW w:type="dxa" w:w="6400"/>
            <w:gridSpan w:val="1"/>
            <w:shd w:fill="DCE6F1" w:val="clear"/>
            <w:tcMar>
              <w:top w:type="dxa" w:w="60"/>
              <w:left w:type="dxa" w:w="100"/>
              <w:bottom w:type="dxa" w:w="60"/>
              <w:right w:type="dxa" w:w="100"/>
            </w:tcMar>
          </w:tcPr>
          <w:p>
            <w:pPr>
              <w:spacing w:after="0"/>
            </w:pPr>
            <w:r>
              <w:rPr>
                <w:b/>
                <w:bCs/>
                <w:sz w:val="19"/>
                <w:szCs w:val="19"/>
              </w:rPr>
              <w:t xml:space="preserve">Tecnología</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Lenguaje</w:t>
            </w:r>
          </w:p>
        </w:tc>
        <w:tc>
          <w:tcPr>
            <w:tcW w:type="dxa" w:w="6400"/>
            <w:gridSpan w:val="1"/>
            <w:tcMar>
              <w:top w:type="dxa" w:w="60"/>
              <w:left w:type="dxa" w:w="100"/>
              <w:bottom w:type="dxa" w:w="60"/>
              <w:right w:type="dxa" w:w="100"/>
            </w:tcMar>
          </w:tcPr>
          <w:p>
            <w:pPr>
              <w:spacing w:after="0"/>
            </w:pPr>
            <w:r>
              <w:rPr>
                <w:b w:val="false"/>
                <w:bCs w:val="false"/>
                <w:sz w:val="19"/>
                <w:szCs w:val="19"/>
              </w:rPr>
              <w:t xml:space="preserve">C# 12 o superior</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Runtime</w:t>
            </w:r>
          </w:p>
        </w:tc>
        <w:tc>
          <w:tcPr>
            <w:tcW w:type="dxa" w:w="6400"/>
            <w:gridSpan w:val="1"/>
            <w:tcMar>
              <w:top w:type="dxa" w:w="60"/>
              <w:left w:type="dxa" w:w="100"/>
              <w:bottom w:type="dxa" w:w="60"/>
              <w:right w:type="dxa" w:w="100"/>
            </w:tcMar>
          </w:tcPr>
          <w:p>
            <w:pPr>
              <w:spacing w:after="0"/>
            </w:pPr>
            <w:r>
              <w:rPr>
                <w:b w:val="false"/>
                <w:bCs w:val="false"/>
                <w:sz w:val="19"/>
                <w:szCs w:val="19"/>
              </w:rPr>
              <w:t xml:space="preserve">.NET 8 (LTS) o superior</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Arquitectura</w:t>
            </w:r>
          </w:p>
        </w:tc>
        <w:tc>
          <w:tcPr>
            <w:tcW w:type="dxa" w:w="6400"/>
            <w:gridSpan w:val="1"/>
            <w:tcMar>
              <w:top w:type="dxa" w:w="60"/>
              <w:left w:type="dxa" w:w="100"/>
              <w:bottom w:type="dxa" w:w="60"/>
              <w:right w:type="dxa" w:w="100"/>
            </w:tcMar>
          </w:tcPr>
          <w:p>
            <w:pPr>
              <w:spacing w:after="0"/>
            </w:pPr>
            <w:r>
              <w:rPr>
                <w:b w:val="false"/>
                <w:bCs w:val="false"/>
                <w:sz w:val="19"/>
                <w:szCs w:val="19"/>
              </w:rPr>
              <w:t xml:space="preserve">Clean Architecture + CQRS</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Base de datos</w:t>
            </w:r>
          </w:p>
        </w:tc>
        <w:tc>
          <w:tcPr>
            <w:tcW w:type="dxa" w:w="6400"/>
            <w:gridSpan w:val="1"/>
            <w:tcMar>
              <w:top w:type="dxa" w:w="60"/>
              <w:left w:type="dxa" w:w="100"/>
              <w:bottom w:type="dxa" w:w="60"/>
              <w:right w:type="dxa" w:w="100"/>
            </w:tcMar>
          </w:tcPr>
          <w:p>
            <w:pPr>
              <w:spacing w:after="0"/>
            </w:pPr>
            <w:r>
              <w:rPr>
                <w:b w:val="false"/>
                <w:bCs w:val="false"/>
                <w:sz w:val="19"/>
                <w:szCs w:val="19"/>
              </w:rPr>
              <w:t xml:space="preserve">Oracle Database 19c o superior</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Acceso a datos</w:t>
            </w:r>
          </w:p>
        </w:tc>
        <w:tc>
          <w:tcPr>
            <w:tcW w:type="dxa" w:w="6400"/>
            <w:gridSpan w:val="1"/>
            <w:tcMar>
              <w:top w:type="dxa" w:w="60"/>
              <w:left w:type="dxa" w:w="100"/>
              <w:bottom w:type="dxa" w:w="60"/>
              <w:right w:type="dxa" w:w="100"/>
            </w:tcMar>
          </w:tcPr>
          <w:p>
            <w:pPr>
              <w:spacing w:after="0"/>
            </w:pPr>
            <w:r>
              <w:rPr>
                <w:b w:val="false"/>
                <w:bCs w:val="false"/>
                <w:sz w:val="19"/>
                <w:szCs w:val="19"/>
              </w:rPr>
              <w:t xml:space="preserve">EF Core + Oracle.EntityFrameworkCore, con stored procedures para operaciones específicas</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Pruebas</w:t>
            </w:r>
          </w:p>
        </w:tc>
        <w:tc>
          <w:tcPr>
            <w:tcW w:type="dxa" w:w="6400"/>
            <w:gridSpan w:val="1"/>
            <w:tcMar>
              <w:top w:type="dxa" w:w="60"/>
              <w:left w:type="dxa" w:w="100"/>
              <w:bottom w:type="dxa" w:w="60"/>
              <w:right w:type="dxa" w:w="100"/>
            </w:tcMar>
          </w:tcPr>
          <w:p>
            <w:pPr>
              <w:spacing w:after="0"/>
            </w:pPr>
            <w:r>
              <w:rPr>
                <w:b w:val="false"/>
                <w:bCs w:val="false"/>
                <w:sz w:val="19"/>
                <w:szCs w:val="19"/>
              </w:rPr>
              <w:t xml:space="preserve">xUnit, FluentAssertions, NSubstitute, Testcontainers</w:t>
            </w:r>
          </w:p>
        </w:tc>
      </w:tr>
    </w:tbl>
    <w:p>
      <w:pPr>
        <w:spacing w:after="120"/>
      </w:pPr>
    </w:p>
    <w:p>
      <w:pPr>
        <w:pStyle w:val="Heading1"/>
        <w:spacing w:after="160" w:before="360"/>
      </w:pPr>
      <w:r>
        <w:t xml:space="preserve">2. Clean Architecture</w:t>
      </w:r>
    </w:p>
    <w:p>
      <w:pPr>
        <w:pStyle w:val="Heading2"/>
        <w:spacing w:after="120" w:before="260"/>
      </w:pPr>
      <w:r>
        <w:t xml:space="preserve">2.1 Regla de dependencia</w:t>
      </w:r>
    </w:p>
    <w:p>
      <w:pPr>
        <w:spacing w:after="120" w:line="276"/>
        <w:jc w:val="both"/>
      </w:pPr>
      <w:r>
        <w:rPr>
          <w:sz w:val="22"/>
          <w:szCs w:val="22"/>
        </w:rPr>
        <w:t xml:space="preserve">Las dependencias apuntan siempre hacia adentro. Una capa interna nunca conoce a una capa externa. El dominio no referencia absolutamente nada del proyecto.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Presentation  (API / Workers / UI)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Infrastructure (EF Core, Oracle)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Application (Casos de uso)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   Domain (Entidades)    │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Flujo de dependencias:  Presentation → Infrastructure → Application → Domain</w:t>
      </w:r>
    </w:p>
    <w:p>
      <w:pPr>
        <w:pStyle w:val="ListParagraph"/>
        <w:numPr>
          <w:ilvl w:val="0"/>
          <w:numId w:val="2"/>
        </w:numPr>
        <w:spacing w:after="60" w:line="276"/>
      </w:pPr>
      <w:r>
        <w:rPr>
          <w:b/>
          <w:bCs/>
          <w:sz w:val="22"/>
          <w:szCs w:val="22"/>
        </w:rPr>
        <w:t xml:space="preserve">DEBE: </w:t>
      </w:r>
      <w:r>
        <w:rPr>
          <w:sz w:val="22"/>
          <w:szCs w:val="22"/>
        </w:rPr>
        <w:t xml:space="preserve">Domain no tiene referencias a otros proyectos ni a paquetes NuGet de infraestructura (EF Core, Oracle, ASP.NET, MediatR).</w:t>
      </w:r>
    </w:p>
    <w:p>
      <w:pPr>
        <w:pStyle w:val="ListParagraph"/>
        <w:numPr>
          <w:ilvl w:val="0"/>
          <w:numId w:val="2"/>
        </w:numPr>
        <w:spacing w:after="60" w:line="276"/>
      </w:pPr>
      <w:r>
        <w:rPr>
          <w:b/>
          <w:bCs/>
          <w:sz w:val="22"/>
          <w:szCs w:val="22"/>
        </w:rPr>
        <w:t xml:space="preserve">DEBE: </w:t>
      </w:r>
      <w:r>
        <w:rPr>
          <w:sz w:val="22"/>
          <w:szCs w:val="22"/>
        </w:rPr>
        <w:t xml:space="preserve">Application define las interfaces (puertos); Infrastructure las implementa (adaptadores).</w:t>
      </w:r>
    </w:p>
    <w:p>
      <w:pPr>
        <w:pStyle w:val="ListParagraph"/>
        <w:numPr>
          <w:ilvl w:val="0"/>
          <w:numId w:val="2"/>
        </w:numPr>
        <w:spacing w:after="60" w:line="276"/>
      </w:pPr>
      <w:r>
        <w:rPr>
          <w:b/>
          <w:bCs/>
          <w:sz w:val="22"/>
          <w:szCs w:val="22"/>
        </w:rPr>
        <w:t xml:space="preserve">NO DEBE: </w:t>
      </w:r>
      <w:r>
        <w:rPr>
          <w:sz w:val="22"/>
          <w:szCs w:val="22"/>
        </w:rPr>
        <w:t xml:space="preserve">Application referenciar Infrastructure. Si necesitas acceder a la BD, declara una interfaz en Application.</w:t>
      </w:r>
    </w:p>
    <w:p>
      <w:pPr>
        <w:pStyle w:val="ListParagraph"/>
        <w:numPr>
          <w:ilvl w:val="0"/>
          <w:numId w:val="2"/>
        </w:numPr>
        <w:spacing w:after="60" w:line="276"/>
      </w:pPr>
      <w:r>
        <w:rPr>
          <w:b/>
          <w:bCs/>
          <w:sz w:val="22"/>
          <w:szCs w:val="22"/>
        </w:rPr>
        <w:t xml:space="preserve">NO DEBE: </w:t>
      </w:r>
      <w:r>
        <w:rPr>
          <w:sz w:val="22"/>
          <w:szCs w:val="22"/>
        </w:rPr>
        <w:t xml:space="preserve">Filtrar tipos de EF Core (DbContext, DbSet, EntityEntry) fuera de Infrastructure.</w:t>
      </w:r>
    </w:p>
    <w:p>
      <w:pPr>
        <w:pStyle w:val="ListParagraph"/>
        <w:numPr>
          <w:ilvl w:val="0"/>
          <w:numId w:val="2"/>
        </w:numPr>
        <w:spacing w:after="60" w:line="276"/>
      </w:pPr>
      <w:r>
        <w:rPr>
          <w:b/>
          <w:bCs/>
          <w:sz w:val="22"/>
          <w:szCs w:val="22"/>
        </w:rPr>
        <w:t xml:space="preserve">NO DEBE: </w:t>
      </w:r>
      <w:r>
        <w:rPr>
          <w:sz w:val="22"/>
          <w:szCs w:val="22"/>
        </w:rPr>
        <w:t xml:space="preserve">Exponer entidades de dominio directamente en los contratos de la API. Siempre usar DTOs.</w:t>
      </w:r>
    </w:p>
    <w:p>
      <w:pPr>
        <w:pStyle w:val="Heading2"/>
        <w:spacing w:after="120" w:before="260"/>
      </w:pPr>
      <w:r>
        <w:t xml:space="preserve">2.2 Estructura de solución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src/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Company.Product.Domain/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Entities/                 Cliente.cs, Pedido.cs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ValueObjects/             Ruc.cs, Dinero.cs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Enums/                    EstadoPedido.cs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Events/                   PedidoConfirmadoDomainEvent.cs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Exceptions/               PedidoNoConfirmableException.cs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Abstractions/             Entity.cs, IAggregateRoot.cs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Company.Product.Application/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Abstractions/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Data/                  IApplicationDbContext.cs, IUnitOfWork.cs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Persistence/           IClienteRepository.cs, IPedidoRepository.cs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Services/              IFechaHoraProvider.cs, IServicioCorreo.cs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Clientes/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Commands/CrearCliente/ Command + Handler + Validator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Queries/ObtenerClientePorId/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Common/                   Result.cs, PagedResult.cs, Behaviors/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Mappings/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Company.Product.Infrastructure/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Persistence/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ApplicationDbContext.cs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Configurations/        ClienteConfiguration.cs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Repositories/          ClienteRepository.cs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StoredProcedures/      ClienteStoredProcedures.cs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Migrations/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Services/                 ServicioCorreoSmtp.cs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DependencyInjection.cs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Company.Product.Api/</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Controllers/  ó  Endpoints/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Middleware/               ExceptionHandlingMiddleware.cs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Program.cs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Company.Product.Shared/      Contratos compartidos API ↔ Client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Contracts/                Requests y Responses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Validation/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Company.Product.Client/      Blazor WebAssembly (ver capítulo 8)</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Pages/  Components/  Layout/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ApiClients/               ClienteApiClient.cs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State/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tests/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Company.Product.Domain.UnitTests/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Company.Product.Application.UnitTests/</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Company.Product.Integration.Tests/</w:t>
      </w:r>
    </w:p>
    <w:p>
      <w:pPr>
        <w:pStyle w:val="Heading2"/>
        <w:spacing w:after="120" w:before="260"/>
      </w:pPr>
      <w:r>
        <w:t xml:space="preserve">2.3 Responsabilidades por capa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900"/>
        <w:gridCol w:w="3600"/>
        <w:gridCol w:w="3500"/>
      </w:tblGrid>
      <w:tr>
        <w:tc>
          <w:tcPr>
            <w:tcW w:type="dxa" w:w="1900"/>
            <w:gridSpan w:val="1"/>
            <w:shd w:fill="DCE6F1" w:val="clear"/>
            <w:tcMar>
              <w:top w:type="dxa" w:w="60"/>
              <w:left w:type="dxa" w:w="100"/>
              <w:bottom w:type="dxa" w:w="60"/>
              <w:right w:type="dxa" w:w="100"/>
            </w:tcMar>
          </w:tcPr>
          <w:p>
            <w:pPr>
              <w:spacing w:after="0"/>
            </w:pPr>
            <w:r>
              <w:rPr>
                <w:b/>
                <w:bCs/>
                <w:sz w:val="19"/>
                <w:szCs w:val="19"/>
              </w:rPr>
              <w:t xml:space="preserve">Capa</w:t>
            </w:r>
          </w:p>
        </w:tc>
        <w:tc>
          <w:tcPr>
            <w:tcW w:type="dxa" w:w="3600"/>
            <w:gridSpan w:val="1"/>
            <w:shd w:fill="DCE6F1" w:val="clear"/>
            <w:tcMar>
              <w:top w:type="dxa" w:w="60"/>
              <w:left w:type="dxa" w:w="100"/>
              <w:bottom w:type="dxa" w:w="60"/>
              <w:right w:type="dxa" w:w="100"/>
            </w:tcMar>
          </w:tcPr>
          <w:p>
            <w:pPr>
              <w:spacing w:after="0"/>
            </w:pPr>
            <w:r>
              <w:rPr>
                <w:b/>
                <w:bCs/>
                <w:sz w:val="19"/>
                <w:szCs w:val="19"/>
              </w:rPr>
              <w:t xml:space="preserve">Contiene</w:t>
            </w:r>
          </w:p>
        </w:tc>
        <w:tc>
          <w:tcPr>
            <w:tcW w:type="dxa" w:w="3500"/>
            <w:gridSpan w:val="1"/>
            <w:shd w:fill="DCE6F1" w:val="clear"/>
            <w:tcMar>
              <w:top w:type="dxa" w:w="60"/>
              <w:left w:type="dxa" w:w="100"/>
              <w:bottom w:type="dxa" w:w="60"/>
              <w:right w:type="dxa" w:w="100"/>
            </w:tcMar>
          </w:tcPr>
          <w:p>
            <w:pPr>
              <w:spacing w:after="0"/>
            </w:pPr>
            <w:r>
              <w:rPr>
                <w:b/>
                <w:bCs/>
                <w:sz w:val="19"/>
                <w:szCs w:val="19"/>
              </w:rPr>
              <w:t xml:space="preserve">Nunca contiene</w:t>
            </w:r>
          </w:p>
        </w:tc>
      </w:tr>
      <w:tr>
        <w:tc>
          <w:tcPr>
            <w:tcW w:type="dxa" w:w="1900"/>
            <w:gridSpan w:val="1"/>
            <w:tcMar>
              <w:top w:type="dxa" w:w="60"/>
              <w:left w:type="dxa" w:w="100"/>
              <w:bottom w:type="dxa" w:w="60"/>
              <w:right w:type="dxa" w:w="100"/>
            </w:tcMar>
          </w:tcPr>
          <w:p>
            <w:pPr>
              <w:spacing w:after="0"/>
            </w:pPr>
            <w:r>
              <w:rPr>
                <w:b w:val="false"/>
                <w:bCs w:val="false"/>
                <w:sz w:val="19"/>
                <w:szCs w:val="19"/>
              </w:rPr>
              <w:t xml:space="preserve">Domain</w:t>
            </w:r>
          </w:p>
        </w:tc>
        <w:tc>
          <w:tcPr>
            <w:tcW w:type="dxa" w:w="3600"/>
            <w:gridSpan w:val="1"/>
            <w:tcMar>
              <w:top w:type="dxa" w:w="60"/>
              <w:left w:type="dxa" w:w="100"/>
              <w:bottom w:type="dxa" w:w="60"/>
              <w:right w:type="dxa" w:w="100"/>
            </w:tcMar>
          </w:tcPr>
          <w:p>
            <w:pPr>
              <w:spacing w:after="0"/>
            </w:pPr>
            <w:r>
              <w:rPr>
                <w:b w:val="false"/>
                <w:bCs w:val="false"/>
                <w:sz w:val="19"/>
                <w:szCs w:val="19"/>
              </w:rPr>
              <w:t xml:space="preserve">Entidades, value objects, invariantes de negocio, eventos de dominio, excepciones de negocio</w:t>
            </w:r>
          </w:p>
        </w:tc>
        <w:tc>
          <w:tcPr>
            <w:tcW w:type="dxa" w:w="3500"/>
            <w:gridSpan w:val="1"/>
            <w:tcMar>
              <w:top w:type="dxa" w:w="60"/>
              <w:left w:type="dxa" w:w="100"/>
              <w:bottom w:type="dxa" w:w="60"/>
              <w:right w:type="dxa" w:w="100"/>
            </w:tcMar>
          </w:tcPr>
          <w:p>
            <w:pPr>
              <w:spacing w:after="0"/>
            </w:pPr>
            <w:r>
              <w:rPr>
                <w:b w:val="false"/>
                <w:bCs w:val="false"/>
                <w:sz w:val="19"/>
                <w:szCs w:val="19"/>
              </w:rPr>
              <w:t xml:space="preserve">SQL, HTTP, atributos de EF Core, DTOs, logging</w:t>
            </w:r>
          </w:p>
        </w:tc>
      </w:tr>
      <w:tr>
        <w:tc>
          <w:tcPr>
            <w:tcW w:type="dxa" w:w="1900"/>
            <w:gridSpan w:val="1"/>
            <w:tcMar>
              <w:top w:type="dxa" w:w="60"/>
              <w:left w:type="dxa" w:w="100"/>
              <w:bottom w:type="dxa" w:w="60"/>
              <w:right w:type="dxa" w:w="100"/>
            </w:tcMar>
          </w:tcPr>
          <w:p>
            <w:pPr>
              <w:spacing w:after="0"/>
            </w:pPr>
            <w:r>
              <w:rPr>
                <w:b w:val="false"/>
                <w:bCs w:val="false"/>
                <w:sz w:val="19"/>
                <w:szCs w:val="19"/>
              </w:rPr>
              <w:t xml:space="preserve">Application</w:t>
            </w:r>
          </w:p>
        </w:tc>
        <w:tc>
          <w:tcPr>
            <w:tcW w:type="dxa" w:w="3600"/>
            <w:gridSpan w:val="1"/>
            <w:tcMar>
              <w:top w:type="dxa" w:w="60"/>
              <w:left w:type="dxa" w:w="100"/>
              <w:bottom w:type="dxa" w:w="60"/>
              <w:right w:type="dxa" w:w="100"/>
            </w:tcMar>
          </w:tcPr>
          <w:p>
            <w:pPr>
              <w:spacing w:after="0"/>
            </w:pPr>
            <w:r>
              <w:rPr>
                <w:b w:val="false"/>
                <w:bCs w:val="false"/>
                <w:sz w:val="19"/>
                <w:szCs w:val="19"/>
              </w:rPr>
              <w:t xml:space="preserve">Casos de uso (commands/queries), validadores, interfaces de persistencia y servicios, DTOs internos</w:t>
            </w:r>
          </w:p>
        </w:tc>
        <w:tc>
          <w:tcPr>
            <w:tcW w:type="dxa" w:w="3500"/>
            <w:gridSpan w:val="1"/>
            <w:tcMar>
              <w:top w:type="dxa" w:w="60"/>
              <w:left w:type="dxa" w:w="100"/>
              <w:bottom w:type="dxa" w:w="60"/>
              <w:right w:type="dxa" w:w="100"/>
            </w:tcMar>
          </w:tcPr>
          <w:p>
            <w:pPr>
              <w:spacing w:after="0"/>
            </w:pPr>
            <w:r>
              <w:rPr>
                <w:b w:val="false"/>
                <w:bCs w:val="false"/>
                <w:sz w:val="19"/>
                <w:szCs w:val="19"/>
              </w:rPr>
              <w:t xml:space="preserve">DbContext concreto, Oracle, ASP.NET Core, System.Web</w:t>
            </w:r>
          </w:p>
        </w:tc>
      </w:tr>
      <w:tr>
        <w:tc>
          <w:tcPr>
            <w:tcW w:type="dxa" w:w="1900"/>
            <w:gridSpan w:val="1"/>
            <w:tcMar>
              <w:top w:type="dxa" w:w="60"/>
              <w:left w:type="dxa" w:w="100"/>
              <w:bottom w:type="dxa" w:w="60"/>
              <w:right w:type="dxa" w:w="100"/>
            </w:tcMar>
          </w:tcPr>
          <w:p>
            <w:pPr>
              <w:spacing w:after="0"/>
            </w:pPr>
            <w:r>
              <w:rPr>
                <w:b w:val="false"/>
                <w:bCs w:val="false"/>
                <w:sz w:val="19"/>
                <w:szCs w:val="19"/>
              </w:rPr>
              <w:t xml:space="preserve">Infrastructure</w:t>
            </w:r>
          </w:p>
        </w:tc>
        <w:tc>
          <w:tcPr>
            <w:tcW w:type="dxa" w:w="3600"/>
            <w:gridSpan w:val="1"/>
            <w:tcMar>
              <w:top w:type="dxa" w:w="60"/>
              <w:left w:type="dxa" w:w="100"/>
              <w:bottom w:type="dxa" w:w="60"/>
              <w:right w:type="dxa" w:w="100"/>
            </w:tcMar>
          </w:tcPr>
          <w:p>
            <w:pPr>
              <w:spacing w:after="0"/>
            </w:pPr>
            <w:r>
              <w:rPr>
                <w:b w:val="false"/>
                <w:bCs w:val="false"/>
                <w:sz w:val="19"/>
                <w:szCs w:val="19"/>
              </w:rPr>
              <w:t xml:space="preserve">DbContext, configuraciones Fluent API, repositorios, llamadas a SPs, integraciones externas</w:t>
            </w:r>
          </w:p>
        </w:tc>
        <w:tc>
          <w:tcPr>
            <w:tcW w:type="dxa" w:w="3500"/>
            <w:gridSpan w:val="1"/>
            <w:tcMar>
              <w:top w:type="dxa" w:w="60"/>
              <w:left w:type="dxa" w:w="100"/>
              <w:bottom w:type="dxa" w:w="60"/>
              <w:right w:type="dxa" w:w="100"/>
            </w:tcMar>
          </w:tcPr>
          <w:p>
            <w:pPr>
              <w:spacing w:after="0"/>
            </w:pPr>
            <w:r>
              <w:rPr>
                <w:b w:val="false"/>
                <w:bCs w:val="false"/>
                <w:sz w:val="19"/>
                <w:szCs w:val="19"/>
              </w:rPr>
              <w:t xml:space="preserve">Reglas de negocio, decisiones de dominio</w:t>
            </w:r>
          </w:p>
        </w:tc>
      </w:tr>
      <w:tr>
        <w:tc>
          <w:tcPr>
            <w:tcW w:type="dxa" w:w="1900"/>
            <w:gridSpan w:val="1"/>
            <w:tcMar>
              <w:top w:type="dxa" w:w="60"/>
              <w:left w:type="dxa" w:w="100"/>
              <w:bottom w:type="dxa" w:w="60"/>
              <w:right w:type="dxa" w:w="100"/>
            </w:tcMar>
          </w:tcPr>
          <w:p>
            <w:pPr>
              <w:spacing w:after="0"/>
            </w:pPr>
            <w:r>
              <w:rPr>
                <w:b w:val="false"/>
                <w:bCs w:val="false"/>
                <w:sz w:val="19"/>
                <w:szCs w:val="19"/>
              </w:rPr>
              <w:t xml:space="preserve">Presentation</w:t>
            </w:r>
          </w:p>
        </w:tc>
        <w:tc>
          <w:tcPr>
            <w:tcW w:type="dxa" w:w="3600"/>
            <w:gridSpan w:val="1"/>
            <w:tcMar>
              <w:top w:type="dxa" w:w="60"/>
              <w:left w:type="dxa" w:w="100"/>
              <w:bottom w:type="dxa" w:w="60"/>
              <w:right w:type="dxa" w:w="100"/>
            </w:tcMar>
          </w:tcPr>
          <w:p>
            <w:pPr>
              <w:spacing w:after="0"/>
            </w:pPr>
            <w:r>
              <w:rPr>
                <w:b w:val="false"/>
                <w:bCs w:val="false"/>
                <w:sz w:val="19"/>
                <w:szCs w:val="19"/>
              </w:rPr>
              <w:t xml:space="preserve">Controllers/endpoints, contratos HTTP, autenticación, versionado, Swagger</w:t>
            </w:r>
          </w:p>
        </w:tc>
        <w:tc>
          <w:tcPr>
            <w:tcW w:type="dxa" w:w="3500"/>
            <w:gridSpan w:val="1"/>
            <w:tcMar>
              <w:top w:type="dxa" w:w="60"/>
              <w:left w:type="dxa" w:w="100"/>
              <w:bottom w:type="dxa" w:w="60"/>
              <w:right w:type="dxa" w:w="100"/>
            </w:tcMar>
          </w:tcPr>
          <w:p>
            <w:pPr>
              <w:spacing w:after="0"/>
            </w:pPr>
            <w:r>
              <w:rPr>
                <w:b w:val="false"/>
                <w:bCs w:val="false"/>
                <w:sz w:val="19"/>
                <w:szCs w:val="19"/>
              </w:rPr>
              <w:t xml:space="preserve">Lógica de negocio, acceso directo al DbContext</w:t>
            </w:r>
          </w:p>
        </w:tc>
      </w:tr>
    </w:tbl>
    <w:p>
      <w:pPr>
        <w:spacing w:after="120"/>
      </w:pPr>
    </w:p>
    <w:p>
      <w:pPr>
        <w:pStyle w:val="Heading2"/>
        <w:spacing w:after="120" w:before="260"/>
      </w:pPr>
      <w:r>
        <w:t xml:space="preserve">2.4 Patrones obligatorios</w:t>
      </w:r>
    </w:p>
    <w:p>
      <w:pPr>
        <w:pStyle w:val="ListParagraph"/>
        <w:numPr>
          <w:ilvl w:val="0"/>
          <w:numId w:val="2"/>
        </w:numPr>
        <w:spacing w:after="60" w:line="276"/>
      </w:pPr>
      <w:r>
        <w:rPr>
          <w:b/>
          <w:bCs/>
          <w:sz w:val="22"/>
          <w:szCs w:val="22"/>
        </w:rPr>
        <w:t xml:space="preserve">CQRS con MediatR: </w:t>
      </w:r>
      <w:r>
        <w:rPr>
          <w:sz w:val="22"/>
          <w:szCs w:val="22"/>
        </w:rPr>
        <w:t xml:space="preserve">todo caso de uso es un Command (modifica estado) o un Query (solo lectura). Un handler por caso de uso, sin excepciones.</w:t>
      </w:r>
    </w:p>
    <w:p>
      <w:pPr>
        <w:pStyle w:val="ListParagraph"/>
        <w:numPr>
          <w:ilvl w:val="0"/>
          <w:numId w:val="2"/>
        </w:numPr>
        <w:spacing w:after="60" w:line="276"/>
      </w:pPr>
      <w:r>
        <w:rPr>
          <w:b/>
          <w:bCs/>
          <w:sz w:val="22"/>
          <w:szCs w:val="22"/>
        </w:rPr>
        <w:t xml:space="preserve">Result pattern: </w:t>
      </w:r>
      <w:r>
        <w:rPr>
          <w:sz w:val="22"/>
          <w:szCs w:val="22"/>
        </w:rPr>
        <w:t xml:space="preserve">los handlers retornan Result&lt;T&gt; en lugar de lanzar excepciones para errores esperados (validación, no encontrado, conflicto). Las excepciones se reservan para fallos técnicos.</w:t>
      </w:r>
    </w:p>
    <w:p>
      <w:pPr>
        <w:pStyle w:val="ListParagraph"/>
        <w:numPr>
          <w:ilvl w:val="0"/>
          <w:numId w:val="2"/>
        </w:numPr>
        <w:spacing w:after="60" w:line="276"/>
      </w:pPr>
      <w:r>
        <w:rPr>
          <w:b/>
          <w:bCs/>
          <w:sz w:val="22"/>
          <w:szCs w:val="22"/>
        </w:rPr>
        <w:t xml:space="preserve">Repository sobre agregados: </w:t>
      </w:r>
      <w:r>
        <w:rPr>
          <w:sz w:val="22"/>
          <w:szCs w:val="22"/>
        </w:rPr>
        <w:t xml:space="preserve">un repositorio por raíz de agregado, no uno por tabla.</w:t>
      </w:r>
    </w:p>
    <w:p>
      <w:pPr>
        <w:pStyle w:val="ListParagraph"/>
        <w:numPr>
          <w:ilvl w:val="0"/>
          <w:numId w:val="2"/>
        </w:numPr>
        <w:spacing w:after="60" w:line="276"/>
      </w:pPr>
      <w:r>
        <w:rPr>
          <w:b/>
          <w:bCs/>
          <w:sz w:val="22"/>
          <w:szCs w:val="22"/>
        </w:rPr>
        <w:t xml:space="preserve">Unit of Work: </w:t>
      </w:r>
      <w:r>
        <w:rPr>
          <w:sz w:val="22"/>
          <w:szCs w:val="22"/>
        </w:rPr>
        <w:t xml:space="preserve">el commit lo hace el handler, nunca el repositorio.</w:t>
      </w:r>
    </w:p>
    <w:p>
      <w:pPr>
        <w:pStyle w:val="ListParagraph"/>
        <w:numPr>
          <w:ilvl w:val="0"/>
          <w:numId w:val="2"/>
        </w:numPr>
        <w:spacing w:after="60" w:line="276"/>
      </w:pPr>
      <w:r>
        <w:rPr>
          <w:b/>
          <w:bCs/>
          <w:sz w:val="22"/>
          <w:szCs w:val="22"/>
        </w:rPr>
        <w:t xml:space="preserve">Inyección de dependencias: </w:t>
      </w:r>
      <w:r>
        <w:rPr>
          <w:sz w:val="22"/>
          <w:szCs w:val="22"/>
        </w:rPr>
        <w:t xml:space="preserve">siempre por constructor. Prohibido el service locator y las llamadas estáticas a infraestructura.</w:t>
      </w:r>
    </w:p>
    <w:p>
      <w:pPr>
        <w:spacing w:after="120"/>
      </w:pPr>
    </w:p>
    <w:p>
      <w:r>
        <w:br w:type="page"/>
      </w:r>
    </w:p>
    <w:p>
      <w:pPr>
        <w:pStyle w:val="Heading1"/>
        <w:spacing w:after="160" w:before="360"/>
      </w:pPr>
      <w:r>
        <w:t xml:space="preserve">3. Convenciones de nomenclatura en C#</w:t>
      </w:r>
    </w:p>
    <w:p>
      <w:pPr>
        <w:spacing w:after="120" w:line="276"/>
        <w:jc w:val="both"/>
      </w:pPr>
      <w:r>
        <w:rPr>
          <w:sz w:val="22"/>
          <w:szCs w:val="22"/>
        </w:rPr>
        <w:t xml:space="preserve">Se sigue la guía oficial de Microsoft. La regla de fondo: PascalCase para todo lo visible desde fuera del método, camelCase para todo lo que vive dentro de él.</w:t>
      </w:r>
    </w:p>
    <w:p>
      <w:pPr>
        <w:pStyle w:val="Heading2"/>
        <w:spacing w:after="120" w:before="260"/>
      </w:pPr>
      <w:r>
        <w:t xml:space="preserve">3.1 Tabla maestra de casing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500"/>
        <w:gridCol w:w="1900"/>
        <w:gridCol w:w="4600"/>
      </w:tblGrid>
      <w:tr>
        <w:tc>
          <w:tcPr>
            <w:tcW w:type="dxa" w:w="2500"/>
            <w:gridSpan w:val="1"/>
            <w:shd w:fill="DCE6F1" w:val="clear"/>
            <w:tcMar>
              <w:top w:type="dxa" w:w="60"/>
              <w:left w:type="dxa" w:w="100"/>
              <w:bottom w:type="dxa" w:w="60"/>
              <w:right w:type="dxa" w:w="100"/>
            </w:tcMar>
          </w:tcPr>
          <w:p>
            <w:pPr>
              <w:spacing w:after="0"/>
            </w:pPr>
            <w:r>
              <w:rPr>
                <w:b/>
                <w:bCs/>
                <w:sz w:val="19"/>
                <w:szCs w:val="19"/>
              </w:rPr>
              <w:t xml:space="preserve">Elemento</w:t>
            </w:r>
          </w:p>
        </w:tc>
        <w:tc>
          <w:tcPr>
            <w:tcW w:type="dxa" w:w="1900"/>
            <w:gridSpan w:val="1"/>
            <w:shd w:fill="DCE6F1" w:val="clear"/>
            <w:tcMar>
              <w:top w:type="dxa" w:w="60"/>
              <w:left w:type="dxa" w:w="100"/>
              <w:bottom w:type="dxa" w:w="60"/>
              <w:right w:type="dxa" w:w="100"/>
            </w:tcMar>
          </w:tcPr>
          <w:p>
            <w:pPr>
              <w:spacing w:after="0"/>
            </w:pPr>
            <w:r>
              <w:rPr>
                <w:b/>
                <w:bCs/>
                <w:sz w:val="19"/>
                <w:szCs w:val="19"/>
              </w:rPr>
              <w:t xml:space="preserve">Convención</w:t>
            </w:r>
          </w:p>
        </w:tc>
        <w:tc>
          <w:tcPr>
            <w:tcW w:type="dxa" w:w="4600"/>
            <w:gridSpan w:val="1"/>
            <w:shd w:fill="DCE6F1" w:val="clear"/>
            <w:tcMar>
              <w:top w:type="dxa" w:w="60"/>
              <w:left w:type="dxa" w:w="100"/>
              <w:bottom w:type="dxa" w:w="60"/>
              <w:right w:type="dxa" w:w="100"/>
            </w:tcMar>
          </w:tcPr>
          <w:p>
            <w:pPr>
              <w:spacing w:after="0"/>
            </w:pPr>
            <w:r>
              <w:rPr>
                <w:b/>
                <w:bCs/>
                <w:sz w:val="19"/>
                <w:szCs w:val="19"/>
              </w:rPr>
              <w:t xml:space="preserve">Ejemplo</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Namespace</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Company.Product.Application.Clientes</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Clase / Record / Struct</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ClienteRepository, PedidoConfirmado</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Interfaz</w:t>
            </w:r>
          </w:p>
        </w:tc>
        <w:tc>
          <w:tcPr>
            <w:tcW w:type="dxa" w:w="1900"/>
            <w:gridSpan w:val="1"/>
            <w:tcMar>
              <w:top w:type="dxa" w:w="60"/>
              <w:left w:type="dxa" w:w="100"/>
              <w:bottom w:type="dxa" w:w="60"/>
              <w:right w:type="dxa" w:w="100"/>
            </w:tcMar>
          </w:tcPr>
          <w:p>
            <w:pPr>
              <w:spacing w:after="0"/>
            </w:pPr>
            <w:r>
              <w:rPr>
                <w:b w:val="false"/>
                <w:bCs w:val="false"/>
                <w:sz w:val="19"/>
                <w:szCs w:val="19"/>
              </w:rPr>
              <w:t xml:space="preserve">I + 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IClienteRepository, IUnitOfWork</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Método</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ObtenerPorId, CalcularTotal</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Método asíncrono</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 + Async</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ObtenerPorIdAsync, GuardarCambiosAsync</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Propiedad</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NombreCompleto, FechaCreacion</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Parámetro</w:t>
            </w:r>
          </w:p>
        </w:tc>
        <w:tc>
          <w:tcPr>
            <w:tcW w:type="dxa" w:w="1900"/>
            <w:gridSpan w:val="1"/>
            <w:tcMar>
              <w:top w:type="dxa" w:w="60"/>
              <w:left w:type="dxa" w:w="100"/>
              <w:bottom w:type="dxa" w:w="60"/>
              <w:right w:type="dxa" w:w="100"/>
            </w:tcMar>
          </w:tcPr>
          <w:p>
            <w:pPr>
              <w:spacing w:after="0"/>
            </w:pPr>
            <w:r>
              <w:rPr>
                <w:b w:val="false"/>
                <w:bCs w:val="false"/>
                <w:sz w:val="19"/>
                <w:szCs w:val="19"/>
              </w:rPr>
              <w:t xml:space="preserve">camelCase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clienteId, cancellationToken</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Variable local</w:t>
            </w:r>
          </w:p>
        </w:tc>
        <w:tc>
          <w:tcPr>
            <w:tcW w:type="dxa" w:w="1900"/>
            <w:gridSpan w:val="1"/>
            <w:tcMar>
              <w:top w:type="dxa" w:w="60"/>
              <w:left w:type="dxa" w:w="100"/>
              <w:bottom w:type="dxa" w:w="60"/>
              <w:right w:type="dxa" w:w="100"/>
            </w:tcMar>
          </w:tcPr>
          <w:p>
            <w:pPr>
              <w:spacing w:after="0"/>
            </w:pPr>
            <w:r>
              <w:rPr>
                <w:b w:val="false"/>
                <w:bCs w:val="false"/>
                <w:sz w:val="19"/>
                <w:szCs w:val="19"/>
              </w:rPr>
              <w:t xml:space="preserve">camelCase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totalPedido, clientesActivos</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Campo privado</w:t>
            </w:r>
          </w:p>
        </w:tc>
        <w:tc>
          <w:tcPr>
            <w:tcW w:type="dxa" w:w="1900"/>
            <w:gridSpan w:val="1"/>
            <w:tcMar>
              <w:top w:type="dxa" w:w="60"/>
              <w:left w:type="dxa" w:w="100"/>
              <w:bottom w:type="dxa" w:w="60"/>
              <w:right w:type="dxa" w:w="100"/>
            </w:tcMar>
          </w:tcPr>
          <w:p>
            <w:pPr>
              <w:spacing w:after="0"/>
            </w:pPr>
            <w:r>
              <w:rPr>
                <w:b w:val="false"/>
                <w:bCs w:val="false"/>
                <w:sz w:val="19"/>
                <w:szCs w:val="19"/>
              </w:rPr>
              <w:t xml:space="preserve">_camelCase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private readonly ILogger _logger;</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Campo estático privado</w:t>
            </w:r>
          </w:p>
        </w:tc>
        <w:tc>
          <w:tcPr>
            <w:tcW w:type="dxa" w:w="1900"/>
            <w:gridSpan w:val="1"/>
            <w:tcMar>
              <w:top w:type="dxa" w:w="60"/>
              <w:left w:type="dxa" w:w="100"/>
              <w:bottom w:type="dxa" w:w="60"/>
              <w:right w:type="dxa" w:w="100"/>
            </w:tcMar>
          </w:tcPr>
          <w:p>
            <w:pPr>
              <w:spacing w:after="0"/>
            </w:pPr>
            <w:r>
              <w:rPr>
                <w:b w:val="false"/>
                <w:bCs w:val="false"/>
                <w:sz w:val="19"/>
                <w:szCs w:val="19"/>
              </w:rPr>
              <w:t xml:space="preserve">_camelCase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private static readonly Regex _formatoRuc;</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Constante</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public const int MaximoIntentos = 3;</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Enum (tipo y valores)</w:t>
            </w:r>
          </w:p>
        </w:tc>
        <w:tc>
          <w:tcPr>
            <w:tcW w:type="dxa" w:w="1900"/>
            <w:gridSpan w:val="1"/>
            <w:tcMar>
              <w:top w:type="dxa" w:w="60"/>
              <w:left w:type="dxa" w:w="100"/>
              <w:bottom w:type="dxa" w:w="60"/>
              <w:right w:type="dxa" w:w="100"/>
            </w:tcMar>
          </w:tcPr>
          <w:p>
            <w:pPr>
              <w:spacing w:after="0"/>
            </w:pPr>
            <w:r>
              <w:rPr>
                <w:b w:val="false"/>
                <w:bCs w:val="false"/>
                <w:sz w:val="19"/>
                <w:szCs w:val="19"/>
              </w:rPr>
              <w:t xml:space="preserve">PascalCase singular</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EstadoPedido.Confirmado</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Parámetro genérico</w:t>
            </w:r>
          </w:p>
        </w:tc>
        <w:tc>
          <w:tcPr>
            <w:tcW w:type="dxa" w:w="1900"/>
            <w:gridSpan w:val="1"/>
            <w:tcMar>
              <w:top w:type="dxa" w:w="60"/>
              <w:left w:type="dxa" w:w="100"/>
              <w:bottom w:type="dxa" w:w="60"/>
              <w:right w:type="dxa" w:w="100"/>
            </w:tcMar>
          </w:tcPr>
          <w:p>
            <w:pPr>
              <w:spacing w:after="0"/>
            </w:pPr>
            <w:r>
              <w:rPr>
                <w:b w:val="false"/>
                <w:bCs w:val="false"/>
                <w:sz w:val="19"/>
                <w:szCs w:val="19"/>
              </w:rPr>
              <w:t xml:space="preserve">T + PascalCase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TEntity, TResponse, TKey</w:t>
            </w:r>
          </w:p>
        </w:tc>
      </w:tr>
      <w:tr>
        <w:tc>
          <w:tcPr>
            <w:tcW w:type="dxa" w:w="2500"/>
            <w:gridSpan w:val="1"/>
            <w:tcMar>
              <w:top w:type="dxa" w:w="60"/>
              <w:left w:type="dxa" w:w="100"/>
              <w:bottom w:type="dxa" w:w="60"/>
              <w:right w:type="dxa" w:w="100"/>
            </w:tcMar>
          </w:tcPr>
          <w:p>
            <w:pPr>
              <w:spacing w:after="0"/>
            </w:pPr>
            <w:r>
              <w:rPr>
                <w:b w:val="false"/>
                <w:bCs w:val="false"/>
                <w:sz w:val="19"/>
                <w:szCs w:val="19"/>
              </w:rPr>
              <w:t xml:space="preserve">Archivo</w:t>
            </w:r>
          </w:p>
        </w:tc>
        <w:tc>
          <w:tcPr>
            <w:tcW w:type="dxa" w:w="1900"/>
            <w:gridSpan w:val="1"/>
            <w:tcMar>
              <w:top w:type="dxa" w:w="60"/>
              <w:left w:type="dxa" w:w="100"/>
              <w:bottom w:type="dxa" w:w="60"/>
              <w:right w:type="dxa" w:w="100"/>
            </w:tcMar>
          </w:tcPr>
          <w:p>
            <w:pPr>
              <w:spacing w:after="0"/>
            </w:pPr>
            <w:r>
              <w:rPr>
                <w:b w:val="false"/>
                <w:bCs w:val="false"/>
                <w:sz w:val="19"/>
                <w:szCs w:val="19"/>
              </w:rPr>
              <w:t xml:space="preserve">= nombre del tipo</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ClienteRepository.cs</w:t>
            </w:r>
          </w:p>
        </w:tc>
      </w:tr>
    </w:tbl>
    <w:p>
      <w:pPr>
        <w:spacing w:after="120"/>
      </w:pPr>
    </w:p>
    <w:p>
      <w:pPr>
        <w:pStyle w:val="Heading2"/>
        <w:spacing w:after="120" w:before="260"/>
      </w:pPr>
      <w:r>
        <w:t xml:space="preserve">3.2 Reglas de contenido de los nombres</w:t>
      </w:r>
    </w:p>
    <w:p>
      <w:pPr>
        <w:pStyle w:val="ListParagraph"/>
        <w:numPr>
          <w:ilvl w:val="0"/>
          <w:numId w:val="2"/>
        </w:numPr>
        <w:spacing w:after="60" w:line="276"/>
      </w:pPr>
      <w:r>
        <w:rPr>
          <w:b/>
          <w:bCs/>
          <w:sz w:val="22"/>
          <w:szCs w:val="22"/>
        </w:rPr>
        <w:t xml:space="preserve">DEBE: </w:t>
      </w:r>
      <w:r>
        <w:rPr>
          <w:sz w:val="22"/>
          <w:szCs w:val="22"/>
        </w:rPr>
        <w:t xml:space="preserve">el idioma es español para conceptos del negocio (Cliente, Pedido, Comprobante) e inglés para conceptos técnicos consolidados (Repository, Handler, Service, Options). No se mezclan dentro de una misma palabra.</w:t>
      </w:r>
    </w:p>
    <w:p>
      <w:pPr>
        <w:pStyle w:val="ListParagraph"/>
        <w:numPr>
          <w:ilvl w:val="0"/>
          <w:numId w:val="2"/>
        </w:numPr>
        <w:spacing w:after="60" w:line="276"/>
      </w:pPr>
      <w:r>
        <w:rPr>
          <w:b/>
          <w:bCs/>
          <w:sz w:val="22"/>
          <w:szCs w:val="22"/>
        </w:rPr>
        <w:t xml:space="preserve">NO DEBE: </w:t>
      </w:r>
      <w:r>
        <w:rPr>
          <w:sz w:val="22"/>
          <w:szCs w:val="22"/>
        </w:rPr>
        <w:t xml:space="preserve">usar abreviaturas fuera de las aceptadas por el glosario del proyecto.</w:t>
      </w:r>
    </w:p>
    <w:p>
      <w:pPr>
        <w:pStyle w:val="ListParagraph"/>
        <w:numPr>
          <w:ilvl w:val="1"/>
          <w:numId w:val="2"/>
        </w:numPr>
        <w:spacing w:after="60" w:line="276"/>
      </w:pPr>
      <w:r>
        <w:rPr>
          <w:sz w:val="22"/>
          <w:szCs w:val="22"/>
        </w:rPr>
        <w:t xml:space="preserve">Correcto: </w:t>
      </w:r>
      <w:r>
        <w:rPr>
          <w:rFonts w:ascii="Consolas" w:cs="Consolas" w:eastAsia="Consolas" w:hAnsi="Consolas"/>
          <w:sz w:val="20"/>
          <w:szCs w:val="20"/>
        </w:rPr>
        <w:t xml:space="preserve">cantidadPendiente</w:t>
      </w:r>
      <w:r>
        <w:rPr>
          <w:sz w:val="22"/>
          <w:szCs w:val="22"/>
        </w:rPr>
        <w:t xml:space="preserve">  ·  Incorrecto: </w:t>
      </w:r>
      <w:r>
        <w:rPr>
          <w:rFonts w:ascii="Consolas" w:cs="Consolas" w:eastAsia="Consolas" w:hAnsi="Consolas"/>
          <w:sz w:val="20"/>
          <w:szCs w:val="20"/>
        </w:rPr>
        <w:t xml:space="preserve">cantPend</w:t>
      </w:r>
    </w:p>
    <w:p>
      <w:pPr>
        <w:pStyle w:val="ListParagraph"/>
        <w:numPr>
          <w:ilvl w:val="0"/>
          <w:numId w:val="2"/>
        </w:numPr>
        <w:spacing w:after="60" w:line="276"/>
      </w:pPr>
      <w:r>
        <w:rPr>
          <w:b/>
          <w:bCs/>
          <w:sz w:val="22"/>
          <w:szCs w:val="22"/>
        </w:rPr>
        <w:t xml:space="preserve">DEBE: </w:t>
      </w:r>
      <w:r>
        <w:rPr>
          <w:sz w:val="22"/>
          <w:szCs w:val="22"/>
        </w:rPr>
        <w:t xml:space="preserve">las colecciones van en plural: </w:t>
      </w:r>
      <w:r>
        <w:rPr>
          <w:rFonts w:ascii="Consolas" w:cs="Consolas" w:eastAsia="Consolas" w:hAnsi="Consolas"/>
          <w:sz w:val="20"/>
          <w:szCs w:val="20"/>
        </w:rPr>
        <w:t xml:space="preserve">clientes</w:t>
      </w:r>
      <w:r>
        <w:rPr>
          <w:sz w:val="22"/>
          <w:szCs w:val="22"/>
        </w:rPr>
        <w:t xml:space="preserve">, </w:t>
      </w:r>
      <w:r>
        <w:rPr>
          <w:rFonts w:ascii="Consolas" w:cs="Consolas" w:eastAsia="Consolas" w:hAnsi="Consolas"/>
          <w:sz w:val="20"/>
          <w:szCs w:val="20"/>
        </w:rPr>
        <w:t xml:space="preserve">pedidosPendientes</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los booleanos empiezan con Es, Tiene, Puede, Debe o Hay: </w:t>
      </w:r>
      <w:r>
        <w:rPr>
          <w:rFonts w:ascii="Consolas" w:cs="Consolas" w:eastAsia="Consolas" w:hAnsi="Consolas"/>
          <w:sz w:val="20"/>
          <w:szCs w:val="20"/>
        </w:rPr>
        <w:t xml:space="preserve">EsActivo</w:t>
      </w:r>
      <w:r>
        <w:rPr>
          <w:sz w:val="22"/>
          <w:szCs w:val="22"/>
        </w:rPr>
        <w:t xml:space="preserve">, </w:t>
      </w:r>
      <w:r>
        <w:rPr>
          <w:rFonts w:ascii="Consolas" w:cs="Consolas" w:eastAsia="Consolas" w:hAnsi="Consolas"/>
          <w:sz w:val="20"/>
          <w:szCs w:val="20"/>
        </w:rPr>
        <w:t xml:space="preserve">TieneDeuda</w:t>
      </w:r>
      <w:r>
        <w:rPr>
          <w:sz w:val="22"/>
          <w:szCs w:val="22"/>
        </w:rPr>
        <w:t xml:space="preserve">, </w:t>
      </w:r>
      <w:r>
        <w:rPr>
          <w:rFonts w:ascii="Consolas" w:cs="Consolas" w:eastAsia="Consolas" w:hAnsi="Consolas"/>
          <w:sz w:val="20"/>
          <w:szCs w:val="20"/>
        </w:rPr>
        <w:t xml:space="preserve">PuedeAnularse</w:t>
      </w:r>
      <w:r>
        <w:rPr>
          <w:sz w:val="22"/>
          <w:szCs w:val="22"/>
        </w:rPr>
        <w:t xml:space="preserve">.</w:t>
      </w:r>
    </w:p>
    <w:p>
      <w:pPr>
        <w:pStyle w:val="ListParagraph"/>
        <w:numPr>
          <w:ilvl w:val="0"/>
          <w:numId w:val="2"/>
        </w:numPr>
        <w:spacing w:after="60" w:line="276"/>
      </w:pPr>
      <w:r>
        <w:rPr>
          <w:b/>
          <w:bCs/>
          <w:sz w:val="22"/>
          <w:szCs w:val="22"/>
        </w:rPr>
        <w:t xml:space="preserve">NO DEBE: </w:t>
      </w:r>
      <w:r>
        <w:rPr>
          <w:sz w:val="22"/>
          <w:szCs w:val="22"/>
        </w:rPr>
        <w:t xml:space="preserve">usar notación húngara ni prefijos de tipo (</w:t>
      </w:r>
      <w:r>
        <w:rPr>
          <w:rFonts w:ascii="Consolas" w:cs="Consolas" w:eastAsia="Consolas" w:hAnsi="Consolas"/>
          <w:sz w:val="20"/>
          <w:szCs w:val="20"/>
        </w:rPr>
        <w:t xml:space="preserve">strNombre</w:t>
      </w:r>
      <w:r>
        <w:rPr>
          <w:sz w:val="22"/>
          <w:szCs w:val="22"/>
        </w:rPr>
        <w:t xml:space="preserve">, </w:t>
      </w:r>
      <w:r>
        <w:rPr>
          <w:rFonts w:ascii="Consolas" w:cs="Consolas" w:eastAsia="Consolas" w:hAnsi="Consolas"/>
          <w:sz w:val="20"/>
          <w:szCs w:val="20"/>
        </w:rPr>
        <w:t xml:space="preserve">objCliente</w:t>
      </w:r>
      <w:r>
        <w:rPr>
          <w:sz w:val="22"/>
          <w:szCs w:val="22"/>
        </w:rPr>
        <w:t xml:space="preserve">).</w:t>
      </w:r>
    </w:p>
    <w:p>
      <w:pPr>
        <w:pStyle w:val="ListParagraph"/>
        <w:numPr>
          <w:ilvl w:val="0"/>
          <w:numId w:val="2"/>
        </w:numPr>
        <w:spacing w:after="60" w:line="276"/>
      </w:pPr>
      <w:r>
        <w:rPr>
          <w:b/>
          <w:bCs/>
          <w:sz w:val="22"/>
          <w:szCs w:val="22"/>
        </w:rPr>
        <w:t xml:space="preserve">NO DEBE: </w:t>
      </w:r>
      <w:r>
        <w:rPr>
          <w:sz w:val="22"/>
          <w:szCs w:val="22"/>
        </w:rPr>
        <w:t xml:space="preserve">nombrar clases con sufijos vacíos como Manager, Helper, Utils o Common. Si no puedes nombrar la clase, la clase hace demasiado.</w:t>
      </w:r>
    </w:p>
    <w:p>
      <w:pPr>
        <w:pStyle w:val="ListParagraph"/>
        <w:numPr>
          <w:ilvl w:val="0"/>
          <w:numId w:val="2"/>
        </w:numPr>
        <w:spacing w:after="60" w:line="276"/>
      </w:pPr>
      <w:r>
        <w:rPr>
          <w:b/>
          <w:bCs/>
          <w:sz w:val="22"/>
          <w:szCs w:val="22"/>
        </w:rPr>
        <w:t xml:space="preserve">DEBE: </w:t>
      </w:r>
      <w:r>
        <w:rPr>
          <w:sz w:val="22"/>
          <w:szCs w:val="22"/>
        </w:rPr>
        <w:t xml:space="preserve">los sufijos de rol son obligatorios y consistentes: </w:t>
      </w:r>
      <w:r>
        <w:rPr>
          <w:rFonts w:ascii="Consolas" w:cs="Consolas" w:eastAsia="Consolas" w:hAnsi="Consolas"/>
          <w:sz w:val="20"/>
          <w:szCs w:val="20"/>
        </w:rPr>
        <w:t xml:space="preserve">...Command</w:t>
      </w:r>
      <w:r>
        <w:rPr>
          <w:sz w:val="22"/>
          <w:szCs w:val="22"/>
        </w:rPr>
        <w:t xml:space="preserve">, </w:t>
      </w:r>
      <w:r>
        <w:rPr>
          <w:rFonts w:ascii="Consolas" w:cs="Consolas" w:eastAsia="Consolas" w:hAnsi="Consolas"/>
          <w:sz w:val="20"/>
          <w:szCs w:val="20"/>
        </w:rPr>
        <w:t xml:space="preserve">...Query</w:t>
      </w:r>
      <w:r>
        <w:rPr>
          <w:sz w:val="22"/>
          <w:szCs w:val="22"/>
        </w:rPr>
        <w:t xml:space="preserve">, </w:t>
      </w:r>
      <w:r>
        <w:rPr>
          <w:rFonts w:ascii="Consolas" w:cs="Consolas" w:eastAsia="Consolas" w:hAnsi="Consolas"/>
          <w:sz w:val="20"/>
          <w:szCs w:val="20"/>
        </w:rPr>
        <w:t xml:space="preserve">...Handler</w:t>
      </w:r>
      <w:r>
        <w:rPr>
          <w:sz w:val="22"/>
          <w:szCs w:val="22"/>
        </w:rPr>
        <w:t xml:space="preserve">, </w:t>
      </w:r>
      <w:r>
        <w:rPr>
          <w:rFonts w:ascii="Consolas" w:cs="Consolas" w:eastAsia="Consolas" w:hAnsi="Consolas"/>
          <w:sz w:val="20"/>
          <w:szCs w:val="20"/>
        </w:rPr>
        <w:t xml:space="preserve">...Validator</w:t>
      </w:r>
      <w:r>
        <w:rPr>
          <w:sz w:val="22"/>
          <w:szCs w:val="22"/>
        </w:rPr>
        <w:t xml:space="preserve">, </w:t>
      </w:r>
      <w:r>
        <w:rPr>
          <w:rFonts w:ascii="Consolas" w:cs="Consolas" w:eastAsia="Consolas" w:hAnsi="Consolas"/>
          <w:sz w:val="20"/>
          <w:szCs w:val="20"/>
        </w:rPr>
        <w:t xml:space="preserve">...Repository</w:t>
      </w:r>
      <w:r>
        <w:rPr>
          <w:sz w:val="22"/>
          <w:szCs w:val="22"/>
        </w:rPr>
        <w:t xml:space="preserve">, </w:t>
      </w:r>
      <w:r>
        <w:rPr>
          <w:rFonts w:ascii="Consolas" w:cs="Consolas" w:eastAsia="Consolas" w:hAnsi="Consolas"/>
          <w:sz w:val="20"/>
          <w:szCs w:val="20"/>
        </w:rPr>
        <w:t xml:space="preserve">...Configuration</w:t>
      </w:r>
      <w:r>
        <w:rPr>
          <w:sz w:val="22"/>
          <w:szCs w:val="22"/>
        </w:rPr>
        <w:t xml:space="preserve">, </w:t>
      </w:r>
      <w:r>
        <w:rPr>
          <w:rFonts w:ascii="Consolas" w:cs="Consolas" w:eastAsia="Consolas" w:hAnsi="Consolas"/>
          <w:sz w:val="20"/>
          <w:szCs w:val="20"/>
        </w:rPr>
        <w:t xml:space="preserve">...Exception</w:t>
      </w:r>
      <w:r>
        <w:rPr>
          <w:sz w:val="22"/>
          <w:szCs w:val="22"/>
        </w:rPr>
        <w:t xml:space="preserve">.</w:t>
      </w:r>
    </w:p>
    <w:p>
      <w:pPr>
        <w:pStyle w:val="Heading2"/>
        <w:spacing w:after="120" w:before="260"/>
      </w:pPr>
      <w:r>
        <w:t xml:space="preserve">3.3 Nombres de casos de uso</w:t>
      </w:r>
    </w:p>
    <w:p>
      <w:pPr>
        <w:spacing w:after="120" w:line="276"/>
        <w:jc w:val="both"/>
      </w:pPr>
      <w:r>
        <w:rPr>
          <w:sz w:val="22"/>
          <w:szCs w:val="22"/>
        </w:rPr>
        <w:t xml:space="preserve">Un caso de uso se nombra con la fórmula Verbo + Entidad + [Criterio]. El nombre de la carpeta, del command/query, del handler y del validador comparten la raíz.</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Clientes/Commands/CrearCliente/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CrearClienteCommand.cs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CrearClienteCommandHandler.cs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CrearClienteCommandValidator.cs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CrearClienteResponse.cs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Clientes/Queries/ObtenerClientesPorEstado/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ObtenerClientesPorEstadoQuery.cs</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ObtenerClientesPorEstadoQueryHandler.cs</w:t>
      </w:r>
    </w:p>
    <w:p>
      <w:pPr>
        <w:pStyle w:val="Heading2"/>
        <w:spacing w:after="120" w:before="260"/>
      </w:pPr>
      <w:r>
        <w:t xml:space="preserve">3.4 Ejemplo de referencia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namespace Company.Product.Application.Clientes.Commands.CrearCliente;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sealed record CrearClienteCommand(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string RazonSocial,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string 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string CorreoElectronico) : IRequest&lt;Result&lt;Guid&gt;&gt;;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sealed class CrearClienteCommandHandler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IRequestHandler&lt;CrearClienteCommand, Result&lt;Guid&gt;&gt;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readonly IClienteRepository _clienteRepository;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readonly IUnitOfWork _unitOfWork;</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public CrearClienteCommandHandler(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IClienteRepository clienteRepository,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IUnitOfWork unitOfWork)</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_clienteRepository = clienteRepository;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_unitOfWork = unitOfWork;</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public async Task&lt;Result&lt;Guid&gt;&gt; Handle(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CrearClienteCommand command,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CancellationToken 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bool rucYaRegistrado = await _clienteRepository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.ExisteRucAsync(command.Ruc, 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if (rucYaRegistrado)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return Result.Failure&lt;Guid&gt;(ClienteErrors.RucDuplicado);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var cliente = Cliente.Crear(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command.RazonSocial,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command.CorreoElectronico);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_clienteRepository.Agregar(cliente);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await _unitOfWork.GuardarCambiosAsync(cancellationToken);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return Result.Success(cliente.Id);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Heading1"/>
        <w:spacing w:after="160" w:before="360"/>
      </w:pPr>
      <w:r>
        <w:t xml:space="preserve">4. Estilo de código C#</w:t>
      </w:r>
    </w:p>
    <w:p>
      <w:pPr>
        <w:pStyle w:val="Heading2"/>
        <w:spacing w:after="120" w:before="260"/>
      </w:pPr>
      <w:r>
        <w:t xml:space="preserve">4.1 Formato</w:t>
      </w:r>
    </w:p>
    <w:p>
      <w:pPr>
        <w:pStyle w:val="ListParagraph"/>
        <w:numPr>
          <w:ilvl w:val="0"/>
          <w:numId w:val="2"/>
        </w:numPr>
        <w:spacing w:after="60" w:line="276"/>
      </w:pPr>
      <w:r>
        <w:rPr>
          <w:sz w:val="22"/>
          <w:szCs w:val="22"/>
        </w:rPr>
        <w:t xml:space="preserve">Indentación de 4 espacios, nunca tabuladores. Longitud máxima de línea: 120 caracteres.</w:t>
      </w:r>
    </w:p>
    <w:p>
      <w:pPr>
        <w:pStyle w:val="ListParagraph"/>
        <w:numPr>
          <w:ilvl w:val="0"/>
          <w:numId w:val="2"/>
        </w:numPr>
        <w:spacing w:after="60" w:line="276"/>
      </w:pPr>
      <w:r>
        <w:rPr>
          <w:sz w:val="22"/>
          <w:szCs w:val="22"/>
        </w:rPr>
        <w:t xml:space="preserve">Una declaración por línea. Llaves obligatorias incluso en bloques de una sola instrucción, salvo guard clauses de una línea con return.</w:t>
      </w:r>
    </w:p>
    <w:p>
      <w:pPr>
        <w:pStyle w:val="ListParagraph"/>
        <w:numPr>
          <w:ilvl w:val="0"/>
          <w:numId w:val="2"/>
        </w:numPr>
        <w:spacing w:after="60" w:line="276"/>
      </w:pPr>
      <w:r>
        <w:rPr>
          <w:sz w:val="22"/>
          <w:szCs w:val="22"/>
        </w:rPr>
        <w:t xml:space="preserve">Orden de miembros en una clase: campos constantes, campos estáticos, campos de instancia, constructores, propiedades, métodos públicos, métodos privados.</w:t>
      </w:r>
    </w:p>
    <w:p>
      <w:pPr>
        <w:pStyle w:val="ListParagraph"/>
        <w:numPr>
          <w:ilvl w:val="0"/>
          <w:numId w:val="2"/>
        </w:numPr>
        <w:spacing w:after="60" w:line="276"/>
      </w:pPr>
      <w:r>
        <w:rPr>
          <w:sz w:val="22"/>
          <w:szCs w:val="22"/>
        </w:rPr>
        <w:t xml:space="preserve">Modificador de acceso siempre explícito. Las clases que no se heredan se marcan sealed.</w:t>
      </w:r>
    </w:p>
    <w:p>
      <w:pPr>
        <w:pStyle w:val="ListParagraph"/>
        <w:numPr>
          <w:ilvl w:val="0"/>
          <w:numId w:val="2"/>
        </w:numPr>
        <w:spacing w:after="60" w:line="276"/>
      </w:pPr>
      <w:r>
        <w:rPr>
          <w:sz w:val="22"/>
          <w:szCs w:val="22"/>
        </w:rPr>
        <w:t xml:space="preserve">Usar file-scoped namespaces y directivas using ordenadas: System primero, luego externos, luego del proyecto.</w:t>
      </w:r>
    </w:p>
    <w:p>
      <w:pPr>
        <w:pStyle w:val="ListParagraph"/>
        <w:numPr>
          <w:ilvl w:val="0"/>
          <w:numId w:val="2"/>
        </w:numPr>
        <w:spacing w:after="60" w:line="276"/>
      </w:pPr>
      <w:r>
        <w:rPr>
          <w:sz w:val="22"/>
          <w:szCs w:val="22"/>
        </w:rPr>
        <w:t xml:space="preserve">El proyecto DEBE incluir un archivo .editorconfig en la raíz de la solución y los warnings DEBEN tratarse como errores en CI (</w:t>
      </w:r>
      <w:r>
        <w:rPr>
          <w:rFonts w:ascii="Consolas" w:cs="Consolas" w:eastAsia="Consolas" w:hAnsi="Consolas"/>
          <w:sz w:val="20"/>
          <w:szCs w:val="20"/>
        </w:rPr>
        <w:t xml:space="preserve">&lt;TreatWarningsAsErrors&gt;</w:t>
      </w:r>
      <w:r>
        <w:rPr>
          <w:sz w:val="22"/>
          <w:szCs w:val="22"/>
        </w:rPr>
        <w:t xml:space="preserve">).</w:t>
      </w:r>
    </w:p>
    <w:p>
      <w:pPr>
        <w:pStyle w:val="Heading2"/>
        <w:spacing w:after="120" w:before="260"/>
      </w:pPr>
      <w:r>
        <w:t xml:space="preserve">4.2 Reglas de lenguaje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3000"/>
        <w:gridCol w:w="6000"/>
      </w:tblGrid>
      <w:tr>
        <w:tc>
          <w:tcPr>
            <w:tcW w:type="dxa" w:w="3000"/>
            <w:gridSpan w:val="1"/>
            <w:shd w:fill="DCE6F1" w:val="clear"/>
            <w:tcMar>
              <w:top w:type="dxa" w:w="60"/>
              <w:left w:type="dxa" w:w="100"/>
              <w:bottom w:type="dxa" w:w="60"/>
              <w:right w:type="dxa" w:w="100"/>
            </w:tcMar>
          </w:tcPr>
          <w:p>
            <w:pPr>
              <w:spacing w:after="0"/>
            </w:pPr>
            <w:r>
              <w:rPr>
                <w:b/>
                <w:bCs/>
                <w:sz w:val="19"/>
                <w:szCs w:val="19"/>
              </w:rPr>
              <w:t xml:space="preserve">Regla</w:t>
            </w:r>
          </w:p>
        </w:tc>
        <w:tc>
          <w:tcPr>
            <w:tcW w:type="dxa" w:w="6000"/>
            <w:gridSpan w:val="1"/>
            <w:shd w:fill="DCE6F1" w:val="clear"/>
            <w:tcMar>
              <w:top w:type="dxa" w:w="60"/>
              <w:left w:type="dxa" w:w="100"/>
              <w:bottom w:type="dxa" w:w="60"/>
              <w:right w:type="dxa" w:w="100"/>
            </w:tcMar>
          </w:tcPr>
          <w:p>
            <w:pPr>
              <w:spacing w:after="0"/>
            </w:pPr>
            <w:r>
              <w:rPr>
                <w:b/>
                <w:bCs/>
                <w:sz w:val="19"/>
                <w:szCs w:val="19"/>
              </w:rPr>
              <w:t xml:space="preserve">Detalle</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Nullable habilitado</w:t>
            </w:r>
          </w:p>
        </w:tc>
        <w:tc>
          <w:tcPr>
            <w:tcW w:type="dxa" w:w="6000"/>
            <w:gridSpan w:val="1"/>
            <w:tcMar>
              <w:top w:type="dxa" w:w="60"/>
              <w:left w:type="dxa" w:w="100"/>
              <w:bottom w:type="dxa" w:w="60"/>
              <w:right w:type="dxa" w:w="100"/>
            </w:tcMar>
          </w:tcPr>
          <w:p>
            <w:pPr>
              <w:spacing w:after="0"/>
            </w:pPr>
            <w:r>
              <w:rPr>
                <w:b w:val="false"/>
                <w:bCs w:val="false"/>
                <w:sz w:val="19"/>
                <w:szCs w:val="19"/>
              </w:rPr>
              <w:t xml:space="preserve">&lt;Nullable&gt;enable&lt;/Nullable&gt; en todos los proyectos. Prohibido el operador ! salvo justificación en comentario.</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var</w:t>
            </w:r>
          </w:p>
        </w:tc>
        <w:tc>
          <w:tcPr>
            <w:tcW w:type="dxa" w:w="6000"/>
            <w:gridSpan w:val="1"/>
            <w:tcMar>
              <w:top w:type="dxa" w:w="60"/>
              <w:left w:type="dxa" w:w="100"/>
              <w:bottom w:type="dxa" w:w="60"/>
              <w:right w:type="dxa" w:w="100"/>
            </w:tcMar>
          </w:tcPr>
          <w:p>
            <w:pPr>
              <w:spacing w:after="0"/>
            </w:pPr>
            <w:r>
              <w:rPr>
                <w:b w:val="false"/>
                <w:bCs w:val="false"/>
                <w:sz w:val="19"/>
                <w:szCs w:val="19"/>
              </w:rPr>
              <w:t xml:space="preserve">Permitido solo cuando el tipo es evidente en la misma línea (new, cast, literal). En el resto, tipo explícito.</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async/await</w:t>
            </w:r>
          </w:p>
        </w:tc>
        <w:tc>
          <w:tcPr>
            <w:tcW w:type="dxa" w:w="6000"/>
            <w:gridSpan w:val="1"/>
            <w:tcMar>
              <w:top w:type="dxa" w:w="60"/>
              <w:left w:type="dxa" w:w="100"/>
              <w:bottom w:type="dxa" w:w="60"/>
              <w:right w:type="dxa" w:w="100"/>
            </w:tcMar>
          </w:tcPr>
          <w:p>
            <w:pPr>
              <w:spacing w:after="0"/>
            </w:pPr>
            <w:r>
              <w:rPr>
                <w:b w:val="false"/>
                <w:bCs w:val="false"/>
                <w:sz w:val="19"/>
                <w:szCs w:val="19"/>
              </w:rPr>
              <w:t xml:space="preserve">Async hasta el tope. Prohibidos .Result, .Wait() y async void (excepto event handlers).</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CancellationToken</w:t>
            </w:r>
          </w:p>
        </w:tc>
        <w:tc>
          <w:tcPr>
            <w:tcW w:type="dxa" w:w="6000"/>
            <w:gridSpan w:val="1"/>
            <w:tcMar>
              <w:top w:type="dxa" w:w="60"/>
              <w:left w:type="dxa" w:w="100"/>
              <w:bottom w:type="dxa" w:w="60"/>
              <w:right w:type="dxa" w:w="100"/>
            </w:tcMar>
          </w:tcPr>
          <w:p>
            <w:pPr>
              <w:spacing w:after="0"/>
            </w:pPr>
            <w:r>
              <w:rPr>
                <w:b w:val="false"/>
                <w:bCs w:val="false"/>
                <w:sz w:val="19"/>
                <w:szCs w:val="19"/>
              </w:rPr>
              <w:t xml:space="preserve">Último parámetro de todo método asíncrono público y propagado siempre hacia abajo.</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records</w:t>
            </w:r>
          </w:p>
        </w:tc>
        <w:tc>
          <w:tcPr>
            <w:tcW w:type="dxa" w:w="6000"/>
            <w:gridSpan w:val="1"/>
            <w:tcMar>
              <w:top w:type="dxa" w:w="60"/>
              <w:left w:type="dxa" w:w="100"/>
              <w:bottom w:type="dxa" w:w="60"/>
              <w:right w:type="dxa" w:w="100"/>
            </w:tcMar>
          </w:tcPr>
          <w:p>
            <w:pPr>
              <w:spacing w:after="0"/>
            </w:pPr>
            <w:r>
              <w:rPr>
                <w:b w:val="false"/>
                <w:bCs w:val="false"/>
                <w:sz w:val="19"/>
                <w:szCs w:val="19"/>
              </w:rPr>
              <w:t xml:space="preserve">Para DTOs, commands, queries y value objects. Clases para entidades con identidad y comportamiento.</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LINQ</w:t>
            </w:r>
          </w:p>
        </w:tc>
        <w:tc>
          <w:tcPr>
            <w:tcW w:type="dxa" w:w="6000"/>
            <w:gridSpan w:val="1"/>
            <w:tcMar>
              <w:top w:type="dxa" w:w="60"/>
              <w:left w:type="dxa" w:w="100"/>
              <w:bottom w:type="dxa" w:w="60"/>
              <w:right w:type="dxa" w:w="100"/>
            </w:tcMar>
          </w:tcPr>
          <w:p>
            <w:pPr>
              <w:spacing w:after="0"/>
            </w:pPr>
            <w:r>
              <w:rPr>
                <w:b w:val="false"/>
                <w:bCs w:val="false"/>
                <w:sz w:val="19"/>
                <w:szCs w:val="19"/>
              </w:rPr>
              <w:t xml:space="preserve">Sintaxis de métodos, no query syntax. Encadenamientos largos se parten en varias líneas, una por operador.</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Excepciones</w:t>
            </w:r>
          </w:p>
        </w:tc>
        <w:tc>
          <w:tcPr>
            <w:tcW w:type="dxa" w:w="6000"/>
            <w:gridSpan w:val="1"/>
            <w:tcMar>
              <w:top w:type="dxa" w:w="60"/>
              <w:left w:type="dxa" w:w="100"/>
              <w:bottom w:type="dxa" w:w="60"/>
              <w:right w:type="dxa" w:w="100"/>
            </w:tcMar>
          </w:tcPr>
          <w:p>
            <w:pPr>
              <w:spacing w:after="0"/>
            </w:pPr>
            <w:r>
              <w:rPr>
                <w:b w:val="false"/>
                <w:bCs w:val="false"/>
                <w:sz w:val="19"/>
                <w:szCs w:val="19"/>
              </w:rPr>
              <w:t xml:space="preserve">No usar excepciones para control de flujo. Nunca capturar Exception genérica salvo en el middleware global.</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Magic numbers</w:t>
            </w:r>
          </w:p>
        </w:tc>
        <w:tc>
          <w:tcPr>
            <w:tcW w:type="dxa" w:w="6000"/>
            <w:gridSpan w:val="1"/>
            <w:tcMar>
              <w:top w:type="dxa" w:w="60"/>
              <w:left w:type="dxa" w:w="100"/>
              <w:bottom w:type="dxa" w:w="60"/>
              <w:right w:type="dxa" w:w="100"/>
            </w:tcMar>
          </w:tcPr>
          <w:p>
            <w:pPr>
              <w:spacing w:after="0"/>
            </w:pPr>
            <w:r>
              <w:rPr>
                <w:b w:val="false"/>
                <w:bCs w:val="false"/>
                <w:sz w:val="19"/>
                <w:szCs w:val="19"/>
              </w:rPr>
              <w:t xml:space="preserve">Prohibidos. Toda constante literal se nombra.</w:t>
            </w:r>
          </w:p>
        </w:tc>
      </w:tr>
      <w:tr>
        <w:tc>
          <w:tcPr>
            <w:tcW w:type="dxa" w:w="3000"/>
            <w:gridSpan w:val="1"/>
            <w:tcMar>
              <w:top w:type="dxa" w:w="60"/>
              <w:left w:type="dxa" w:w="100"/>
              <w:bottom w:type="dxa" w:w="60"/>
              <w:right w:type="dxa" w:w="100"/>
            </w:tcMar>
          </w:tcPr>
          <w:p>
            <w:pPr>
              <w:spacing w:after="0"/>
            </w:pPr>
            <w:r>
              <w:rPr>
                <w:b w:val="false"/>
                <w:bCs w:val="false"/>
                <w:sz w:val="19"/>
                <w:szCs w:val="19"/>
              </w:rPr>
              <w:t xml:space="preserve">Comentarios</w:t>
            </w:r>
          </w:p>
        </w:tc>
        <w:tc>
          <w:tcPr>
            <w:tcW w:type="dxa" w:w="6000"/>
            <w:gridSpan w:val="1"/>
            <w:tcMar>
              <w:top w:type="dxa" w:w="60"/>
              <w:left w:type="dxa" w:w="100"/>
              <w:bottom w:type="dxa" w:w="60"/>
              <w:right w:type="dxa" w:w="100"/>
            </w:tcMar>
          </w:tcPr>
          <w:p>
            <w:pPr>
              <w:spacing w:after="0"/>
            </w:pPr>
            <w:r>
              <w:rPr>
                <w:b w:val="false"/>
                <w:bCs w:val="false"/>
                <w:sz w:val="19"/>
                <w:szCs w:val="19"/>
              </w:rPr>
              <w:t xml:space="preserve">Explican el porqué, no el qué. XML docs obligatorios en interfaces públicas y contratos de API.</w:t>
            </w:r>
          </w:p>
        </w:tc>
      </w:tr>
    </w:tbl>
    <w:p>
      <w:pPr>
        <w:spacing w:after="120"/>
      </w:pPr>
    </w:p>
    <w:p>
      <w:pPr>
        <w:pStyle w:val="Heading2"/>
        <w:spacing w:after="120" w:before="260"/>
      </w:pPr>
      <w:r>
        <w:t xml:space="preserve">4.3 Logging</w:t>
      </w:r>
    </w:p>
    <w:p>
      <w:pPr>
        <w:pStyle w:val="ListParagraph"/>
        <w:numPr>
          <w:ilvl w:val="0"/>
          <w:numId w:val="2"/>
        </w:numPr>
        <w:spacing w:after="60" w:line="276"/>
      </w:pPr>
      <w:r>
        <w:rPr>
          <w:sz w:val="22"/>
          <w:szCs w:val="22"/>
        </w:rPr>
        <w:t xml:space="preserve">DEBE usarse </w:t>
      </w:r>
      <w:r>
        <w:rPr>
          <w:rFonts w:ascii="Consolas" w:cs="Consolas" w:eastAsia="Consolas" w:hAnsi="Consolas"/>
          <w:sz w:val="20"/>
          <w:szCs w:val="20"/>
        </w:rPr>
        <w:t xml:space="preserve">ILogger&lt;T&gt;</w:t>
      </w:r>
      <w:r>
        <w:rPr>
          <w:sz w:val="22"/>
          <w:szCs w:val="22"/>
        </w:rPr>
        <w:t xml:space="preserve"> con logging estructurado y plantillas de mensaje, nunca interpolación de cadenas.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Correcto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_logger.LogInformation("Cliente {ClienteId} creado por {Usuario}", cliente.Id, usuario);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Incorrecto</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_logger.LogInformation($"Cliente {cliente.Id} creado por {usuario}");</w:t>
      </w:r>
    </w:p>
    <w:p>
      <w:pPr>
        <w:pStyle w:val="ListParagraph"/>
        <w:numPr>
          <w:ilvl w:val="0"/>
          <w:numId w:val="2"/>
        </w:numPr>
        <w:spacing w:after="60" w:line="276"/>
      </w:pPr>
      <w:r>
        <w:rPr>
          <w:b/>
          <w:bCs/>
          <w:sz w:val="22"/>
          <w:szCs w:val="22"/>
        </w:rPr>
        <w:t xml:space="preserve">NO DEBE: </w:t>
      </w:r>
      <w:r>
        <w:rPr>
          <w:sz w:val="22"/>
          <w:szCs w:val="22"/>
        </w:rPr>
        <w:t xml:space="preserve">registrarse en logs información sensible: contraseñas, tokens, números de tarjeta, datos personales completos.</w:t>
      </w:r>
    </w:p>
    <w:p>
      <w:r>
        <w:br w:type="page"/>
      </w:r>
    </w:p>
    <w:p>
      <w:pPr>
        <w:pStyle w:val="Heading1"/>
        <w:spacing w:after="160" w:before="360"/>
      </w:pPr>
      <w:r>
        <w:t xml:space="preserve">5. Base de datos Oracle: esquema y nomenclatura</w:t>
      </w:r>
    </w:p>
    <w:p>
      <w:pPr>
        <w:spacing w:after="120" w:line="276"/>
        <w:jc w:val="both"/>
      </w:pPr>
      <w:r>
        <w:rPr>
          <w:sz w:val="22"/>
          <w:szCs w:val="22"/>
        </w:rPr>
        <w:t xml:space="preserve">Oracle almacena los identificadores en mayúsculas salvo que se usen comillas dobles. Por eso toda la nomenclatura de base de datos usa UPPER_SNAKE_CASE y está prohibido el uso de identificadores entre comillas dobles.</w:t>
      </w:r>
    </w:p>
    <w:p>
      <w:pPr>
        <w:pStyle w:val="ListParagraph"/>
        <w:numPr>
          <w:ilvl w:val="0"/>
          <w:numId w:val="2"/>
        </w:numPr>
        <w:spacing w:after="60" w:line="276"/>
      </w:pPr>
      <w:r>
        <w:rPr>
          <w:b/>
          <w:bCs/>
          <w:sz w:val="22"/>
          <w:szCs w:val="22"/>
        </w:rPr>
        <w:t xml:space="preserve">DEBE: </w:t>
      </w:r>
      <w:r>
        <w:rPr>
          <w:sz w:val="22"/>
          <w:szCs w:val="22"/>
        </w:rPr>
        <w:t xml:space="preserve">UPPER_SNAKE_CASE en todos los objetos de base de datos.</w:t>
      </w:r>
    </w:p>
    <w:p>
      <w:pPr>
        <w:pStyle w:val="ListParagraph"/>
        <w:numPr>
          <w:ilvl w:val="0"/>
          <w:numId w:val="2"/>
        </w:numPr>
        <w:spacing w:after="60" w:line="276"/>
      </w:pPr>
      <w:r>
        <w:rPr>
          <w:b/>
          <w:bCs/>
          <w:sz w:val="22"/>
          <w:szCs w:val="22"/>
        </w:rPr>
        <w:t xml:space="preserve">NO DEBE: </w:t>
      </w:r>
      <w:r>
        <w:rPr>
          <w:sz w:val="22"/>
          <w:szCs w:val="22"/>
        </w:rPr>
        <w:t xml:space="preserve">usar identificadores entrecomillados ("MiTabla"), porque obligan a citarlos en cada consulta.</w:t>
      </w:r>
    </w:p>
    <w:p>
      <w:pPr>
        <w:pStyle w:val="ListParagraph"/>
        <w:numPr>
          <w:ilvl w:val="0"/>
          <w:numId w:val="2"/>
        </w:numPr>
        <w:spacing w:after="60" w:line="276"/>
      </w:pPr>
      <w:r>
        <w:rPr>
          <w:b/>
          <w:bCs/>
          <w:sz w:val="22"/>
          <w:szCs w:val="22"/>
        </w:rPr>
        <w:t xml:space="preserve">DEBE: </w:t>
      </w:r>
      <w:r>
        <w:rPr>
          <w:sz w:val="22"/>
          <w:szCs w:val="22"/>
        </w:rPr>
        <w:t xml:space="preserve">respetarse el límite de 128 caracteres por identificador (30 en versiones anteriores a 12.2R2). Verificar el límite de la instancia antes de definir nombres largos.</w:t>
      </w:r>
    </w:p>
    <w:p>
      <w:pPr>
        <w:pStyle w:val="ListParagraph"/>
        <w:numPr>
          <w:ilvl w:val="0"/>
          <w:numId w:val="2"/>
        </w:numPr>
        <w:spacing w:after="60" w:line="276"/>
      </w:pPr>
      <w:r>
        <w:rPr>
          <w:b/>
          <w:bCs/>
          <w:sz w:val="22"/>
          <w:szCs w:val="22"/>
        </w:rPr>
        <w:t xml:space="preserve">NO DEBE: </w:t>
      </w:r>
      <w:r>
        <w:rPr>
          <w:sz w:val="22"/>
          <w:szCs w:val="22"/>
        </w:rPr>
        <w:t xml:space="preserve">usar palabras reservadas de Oracle como nombres (DATE, NUMBER, LEVEL, SIZE, COMMENT, ORDER).</w:t>
      </w:r>
    </w:p>
    <w:p>
      <w:pPr>
        <w:pStyle w:val="ListParagraph"/>
        <w:numPr>
          <w:ilvl w:val="0"/>
          <w:numId w:val="2"/>
        </w:numPr>
        <w:spacing w:after="60" w:line="276"/>
      </w:pPr>
      <w:r>
        <w:rPr>
          <w:b/>
          <w:bCs/>
          <w:sz w:val="22"/>
          <w:szCs w:val="22"/>
        </w:rPr>
        <w:t xml:space="preserve">DEBE: </w:t>
      </w:r>
      <w:r>
        <w:rPr>
          <w:sz w:val="22"/>
          <w:szCs w:val="22"/>
        </w:rPr>
        <w:t xml:space="preserve">escribirse en español, sin tildes ni la letra ñ, para evitar problemas de codificación.</w:t>
      </w:r>
    </w:p>
    <w:p>
      <w:pPr>
        <w:pStyle w:val="Heading2"/>
        <w:spacing w:after="120" w:before="260"/>
      </w:pPr>
      <w:r>
        <w:t xml:space="preserve">5.1 Organización de esquemas</w:t>
      </w:r>
    </w:p>
    <w:p>
      <w:pPr>
        <w:spacing w:after="120" w:line="276"/>
        <w:jc w:val="both"/>
      </w:pPr>
      <w:r>
        <w:rPr>
          <w:sz w:val="22"/>
          <w:szCs w:val="22"/>
        </w:rPr>
        <w:t xml:space="preserve">Un esquema por dominio funcional o por aplicación. El esquema propietario de los objetos nunca es el usuario que se conecta desde la aplicación.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400"/>
        <w:gridCol w:w="2600"/>
        <w:gridCol w:w="4000"/>
      </w:tblGrid>
      <w:tr>
        <w:tc>
          <w:tcPr>
            <w:tcW w:type="dxa" w:w="2400"/>
            <w:gridSpan w:val="1"/>
            <w:shd w:fill="DCE6F1" w:val="clear"/>
            <w:tcMar>
              <w:top w:type="dxa" w:w="60"/>
              <w:left w:type="dxa" w:w="100"/>
              <w:bottom w:type="dxa" w:w="60"/>
              <w:right w:type="dxa" w:w="100"/>
            </w:tcMar>
          </w:tcPr>
          <w:p>
            <w:pPr>
              <w:spacing w:after="0"/>
            </w:pPr>
            <w:r>
              <w:rPr>
                <w:b/>
                <w:bCs/>
                <w:sz w:val="19"/>
                <w:szCs w:val="19"/>
              </w:rPr>
              <w:t xml:space="preserve">Tipo de usuario</w:t>
            </w:r>
          </w:p>
        </w:tc>
        <w:tc>
          <w:tcPr>
            <w:tcW w:type="dxa" w:w="2600"/>
            <w:gridSpan w:val="1"/>
            <w:shd w:fill="DCE6F1" w:val="clear"/>
            <w:tcMar>
              <w:top w:type="dxa" w:w="60"/>
              <w:left w:type="dxa" w:w="100"/>
              <w:bottom w:type="dxa" w:w="60"/>
              <w:right w:type="dxa" w:w="100"/>
            </w:tcMar>
          </w:tcPr>
          <w:p>
            <w:pPr>
              <w:spacing w:after="0"/>
            </w:pPr>
            <w:r>
              <w:rPr>
                <w:b/>
                <w:bCs/>
                <w:sz w:val="19"/>
                <w:szCs w:val="19"/>
              </w:rPr>
              <w:t xml:space="preserve">Patrón</w:t>
            </w:r>
          </w:p>
        </w:tc>
        <w:tc>
          <w:tcPr>
            <w:tcW w:type="dxa" w:w="4000"/>
            <w:gridSpan w:val="1"/>
            <w:shd w:fill="DCE6F1" w:val="clear"/>
            <w:tcMar>
              <w:top w:type="dxa" w:w="60"/>
              <w:left w:type="dxa" w:w="100"/>
              <w:bottom w:type="dxa" w:w="60"/>
              <w:right w:type="dxa" w:w="100"/>
            </w:tcMar>
          </w:tcPr>
          <w:p>
            <w:pPr>
              <w:spacing w:after="0"/>
            </w:pPr>
            <w:r>
              <w:rPr>
                <w:b/>
                <w:bCs/>
                <w:sz w:val="19"/>
                <w:szCs w:val="19"/>
              </w:rPr>
              <w:t xml:space="preserve">Propósito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Propietario</w:t>
            </w:r>
          </w:p>
        </w:tc>
        <w:tc>
          <w:tcPr>
            <w:tcW w:type="dxa" w:w="2600"/>
            <w:tcMar>
              <w:top w:type="dxa" w:w="60"/>
              <w:left w:type="dxa" w:w="100"/>
              <w:bottom w:type="dxa" w:w="60"/>
              <w:right w:type="dxa" w:w="100"/>
            </w:tcMar>
          </w:tcPr>
          <w:p>
            <w:pPr>
              <w:spacing w:after="0"/>
            </w:pPr>
            <w:r>
              <w:rPr>
                <w:rFonts w:ascii="Consolas" w:cs="Consolas" w:eastAsia="Consolas" w:hAnsi="Consolas"/>
                <w:sz w:val="17"/>
                <w:szCs w:val="17"/>
              </w:rPr>
              <w:t xml:space="preserve">&lt;PRODUCTO&gt;_OWN</w:t>
            </w:r>
          </w:p>
        </w:tc>
        <w:tc>
          <w:tcPr>
            <w:tcW w:type="dxa" w:w="4000"/>
            <w:gridSpan w:val="1"/>
            <w:tcMar>
              <w:top w:type="dxa" w:w="60"/>
              <w:left w:type="dxa" w:w="100"/>
              <w:bottom w:type="dxa" w:w="60"/>
              <w:right w:type="dxa" w:w="100"/>
            </w:tcMar>
          </w:tcPr>
          <w:p>
            <w:pPr>
              <w:spacing w:after="0"/>
            </w:pPr>
            <w:r>
              <w:rPr>
                <w:b w:val="false"/>
                <w:bCs w:val="false"/>
                <w:sz w:val="19"/>
                <w:szCs w:val="19"/>
              </w:rPr>
              <w:t xml:space="preserve">Dueño de tablas, índices, paquetes. Sin sesiones de aplicación.</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Aplicación</w:t>
            </w:r>
          </w:p>
        </w:tc>
        <w:tc>
          <w:tcPr>
            <w:tcW w:type="dxa" w:w="2600"/>
            <w:tcMar>
              <w:top w:type="dxa" w:w="60"/>
              <w:left w:type="dxa" w:w="100"/>
              <w:bottom w:type="dxa" w:w="60"/>
              <w:right w:type="dxa" w:w="100"/>
            </w:tcMar>
          </w:tcPr>
          <w:p>
            <w:pPr>
              <w:spacing w:after="0"/>
            </w:pPr>
            <w:r>
              <w:rPr>
                <w:rFonts w:ascii="Consolas" w:cs="Consolas" w:eastAsia="Consolas" w:hAnsi="Consolas"/>
                <w:sz w:val="17"/>
                <w:szCs w:val="17"/>
              </w:rPr>
              <w:t xml:space="preserve">&lt;PRODUCTO&gt;_APP</w:t>
            </w:r>
          </w:p>
        </w:tc>
        <w:tc>
          <w:tcPr>
            <w:tcW w:type="dxa" w:w="4000"/>
            <w:gridSpan w:val="1"/>
            <w:tcMar>
              <w:top w:type="dxa" w:w="60"/>
              <w:left w:type="dxa" w:w="100"/>
              <w:bottom w:type="dxa" w:w="60"/>
              <w:right w:type="dxa" w:w="100"/>
            </w:tcMar>
          </w:tcPr>
          <w:p>
            <w:pPr>
              <w:spacing w:after="0"/>
            </w:pPr>
            <w:r>
              <w:rPr>
                <w:b w:val="false"/>
                <w:bCs w:val="false"/>
                <w:sz w:val="19"/>
                <w:szCs w:val="19"/>
              </w:rPr>
              <w:t xml:space="preserve">Usuario de conexión. Solo permisos EXECUTE sobre paquetes y DML mínimo vía sinónimos.</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Lectura</w:t>
            </w:r>
          </w:p>
        </w:tc>
        <w:tc>
          <w:tcPr>
            <w:tcW w:type="dxa" w:w="2600"/>
            <w:tcMar>
              <w:top w:type="dxa" w:w="60"/>
              <w:left w:type="dxa" w:w="100"/>
              <w:bottom w:type="dxa" w:w="60"/>
              <w:right w:type="dxa" w:w="100"/>
            </w:tcMar>
          </w:tcPr>
          <w:p>
            <w:pPr>
              <w:spacing w:after="0"/>
            </w:pPr>
            <w:r>
              <w:rPr>
                <w:rFonts w:ascii="Consolas" w:cs="Consolas" w:eastAsia="Consolas" w:hAnsi="Consolas"/>
                <w:sz w:val="17"/>
                <w:szCs w:val="17"/>
              </w:rPr>
              <w:t xml:space="preserve">&lt;PRODUCTO&gt;_RO</w:t>
            </w:r>
          </w:p>
        </w:tc>
        <w:tc>
          <w:tcPr>
            <w:tcW w:type="dxa" w:w="4000"/>
            <w:gridSpan w:val="1"/>
            <w:tcMar>
              <w:top w:type="dxa" w:w="60"/>
              <w:left w:type="dxa" w:w="100"/>
              <w:bottom w:type="dxa" w:w="60"/>
              <w:right w:type="dxa" w:w="100"/>
            </w:tcMar>
          </w:tcPr>
          <w:p>
            <w:pPr>
              <w:spacing w:after="0"/>
            </w:pPr>
            <w:r>
              <w:rPr>
                <w:b w:val="false"/>
                <w:bCs w:val="false"/>
                <w:sz w:val="19"/>
                <w:szCs w:val="19"/>
              </w:rPr>
              <w:t xml:space="preserve">Reportería y consultas analíticas. Solo SELECT.</w:t>
            </w:r>
          </w:p>
        </w:tc>
      </w:tr>
    </w:tbl>
    <w:p>
      <w:pPr>
        <w:spacing w:after="120"/>
      </w:pPr>
    </w:p>
    <w:p>
      <w:pPr>
        <w:pStyle w:val="ListParagraph"/>
        <w:numPr>
          <w:ilvl w:val="0"/>
          <w:numId w:val="2"/>
        </w:numPr>
        <w:spacing w:after="60" w:line="276"/>
      </w:pPr>
      <w:r>
        <w:rPr>
          <w:b/>
          <w:bCs/>
          <w:sz w:val="22"/>
          <w:szCs w:val="22"/>
        </w:rPr>
        <w:t xml:space="preserve">DEBE: </w:t>
      </w:r>
      <w:r>
        <w:rPr>
          <w:sz w:val="22"/>
          <w:szCs w:val="22"/>
        </w:rPr>
        <w:t xml:space="preserve">el usuario de aplicación acceder mediante sinónimos, nunca con el prefijo del esquema escrito en el código.</w:t>
      </w:r>
    </w:p>
    <w:p>
      <w:pPr>
        <w:pStyle w:val="ListParagraph"/>
        <w:numPr>
          <w:ilvl w:val="0"/>
          <w:numId w:val="2"/>
        </w:numPr>
        <w:spacing w:after="60" w:line="276"/>
      </w:pPr>
      <w:r>
        <w:rPr>
          <w:b/>
          <w:bCs/>
          <w:sz w:val="22"/>
          <w:szCs w:val="22"/>
        </w:rPr>
        <w:t xml:space="preserve">NO DEBE: </w:t>
      </w:r>
      <w:r>
        <w:rPr>
          <w:sz w:val="22"/>
          <w:szCs w:val="22"/>
        </w:rPr>
        <w:t xml:space="preserve">otorgarse DROP, ALTER ni permisos de sistema al usuario de aplicación.</w:t>
      </w:r>
    </w:p>
    <w:p>
      <w:pPr>
        <w:pStyle w:val="Heading2"/>
        <w:spacing w:after="120" w:before="260"/>
      </w:pPr>
      <w:r>
        <w:t xml:space="preserve">5.2 Nomenclatura de objetos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400"/>
        <w:gridCol w:w="2900"/>
        <w:gridCol w:w="3700"/>
      </w:tblGrid>
      <w:tr>
        <w:tc>
          <w:tcPr>
            <w:tcW w:type="dxa" w:w="2400"/>
            <w:gridSpan w:val="1"/>
            <w:shd w:fill="DCE6F1" w:val="clear"/>
            <w:tcMar>
              <w:top w:type="dxa" w:w="60"/>
              <w:left w:type="dxa" w:w="100"/>
              <w:bottom w:type="dxa" w:w="60"/>
              <w:right w:type="dxa" w:w="100"/>
            </w:tcMar>
          </w:tcPr>
          <w:p>
            <w:pPr>
              <w:spacing w:after="0"/>
            </w:pPr>
            <w:r>
              <w:rPr>
                <w:b/>
                <w:bCs/>
                <w:sz w:val="19"/>
                <w:szCs w:val="19"/>
              </w:rPr>
              <w:t xml:space="preserve">Objeto</w:t>
            </w:r>
          </w:p>
        </w:tc>
        <w:tc>
          <w:tcPr>
            <w:tcW w:type="dxa" w:w="2900"/>
            <w:gridSpan w:val="1"/>
            <w:shd w:fill="DCE6F1" w:val="clear"/>
            <w:tcMar>
              <w:top w:type="dxa" w:w="60"/>
              <w:left w:type="dxa" w:w="100"/>
              <w:bottom w:type="dxa" w:w="60"/>
              <w:right w:type="dxa" w:w="100"/>
            </w:tcMar>
          </w:tcPr>
          <w:p>
            <w:pPr>
              <w:spacing w:after="0"/>
            </w:pPr>
            <w:r>
              <w:rPr>
                <w:b/>
                <w:bCs/>
                <w:sz w:val="19"/>
                <w:szCs w:val="19"/>
              </w:rPr>
              <w:t xml:space="preserve">Patrón</w:t>
            </w:r>
          </w:p>
        </w:tc>
        <w:tc>
          <w:tcPr>
            <w:tcW w:type="dxa" w:w="3700"/>
            <w:gridSpan w:val="1"/>
            <w:shd w:fill="DCE6F1" w:val="clear"/>
            <w:tcMar>
              <w:top w:type="dxa" w:w="60"/>
              <w:left w:type="dxa" w:w="100"/>
              <w:bottom w:type="dxa" w:w="60"/>
              <w:right w:type="dxa" w:w="100"/>
            </w:tcMar>
          </w:tcPr>
          <w:p>
            <w:pPr>
              <w:spacing w:after="0"/>
            </w:pPr>
            <w:r>
              <w:rPr>
                <w:b/>
                <w:bCs/>
                <w:sz w:val="19"/>
                <w:szCs w:val="19"/>
              </w:rPr>
              <w:t xml:space="preserve">Ejemplo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Tabla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SUSTANTIVO_SINGULAR</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CLIENTE, PEDIDO, DETALLE_PEDIDO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Tabla de catálogo</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TIPO_&lt;CONCEPTO&gt;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TIPO_DOCUMENTO, TIPO_MONEDA</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Tabla puente</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&lt;TABLA_A&gt;_&lt;TABLA_B&gt;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USUARIO_ROL</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Vista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V_&lt;DESCRIPCION&gt;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V_PEDIDO_PENDIENTE</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Vista materializada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MV_&lt;DESCRIPCION&gt;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MV_VENTA_MENSUAL</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Clave primaria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PK_&lt;TABLA&gt;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PK_CLIENTE</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Clave foránea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FK_&lt;TABLA&gt;_&lt;TABLA_REF&gt;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FK_PEDIDO_CLIENTE</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Restricción única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UQ_&lt;TABLA&gt;_&lt;COLUMNAS&gt;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UQ_CLIENTE_RUC</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Restricción check</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CK_&lt;TABLA&gt;_&lt;REGLA&gt;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CK_PEDIDO_MONTO_POSITIVO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Índice</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IX_&lt;TABLA&gt;_&lt;COLUMNAS&gt;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IX_PEDIDO_FECHA_EMISION</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Índice único</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UX_&lt;TABLA&gt;_&lt;COLUMNAS&gt;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UX_USUARIO_CORREO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Secuencia</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SEQ_&lt;TABLA&gt;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SEQ_PEDIDO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Trigger</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TRG_&lt;TABLA&gt;_&lt;EVENTO&gt;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TRG_PEDIDO_BI (before insert)</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Paquete</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PKG_&lt;ENTIDAD&gt;</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PKG_CLIENTE, PKG_PEDIDO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Sinónimo</w:t>
            </w:r>
          </w:p>
        </w:tc>
        <w:tc>
          <w:tcPr>
            <w:tcW w:type="dxa" w:w="2900"/>
            <w:tcMar>
              <w:top w:type="dxa" w:w="60"/>
              <w:left w:type="dxa" w:w="100"/>
              <w:bottom w:type="dxa" w:w="60"/>
              <w:right w:type="dxa" w:w="100"/>
            </w:tcMar>
          </w:tcPr>
          <w:p>
            <w:pPr>
              <w:spacing w:after="0"/>
            </w:pPr>
            <w:r>
              <w:rPr>
                <w:rFonts w:ascii="Consolas" w:cs="Consolas" w:eastAsia="Consolas" w:hAnsi="Consolas"/>
                <w:sz w:val="17"/>
                <w:szCs w:val="17"/>
              </w:rPr>
              <w:t xml:space="preserve">= nombre del objeto</w:t>
            </w:r>
          </w:p>
        </w:tc>
        <w:tc>
          <w:tcPr>
            <w:tcW w:type="dxa" w:w="3700"/>
            <w:tcMar>
              <w:top w:type="dxa" w:w="60"/>
              <w:left w:type="dxa" w:w="100"/>
              <w:bottom w:type="dxa" w:w="60"/>
              <w:right w:type="dxa" w:w="100"/>
            </w:tcMar>
          </w:tcPr>
          <w:p>
            <w:pPr>
              <w:spacing w:after="0"/>
            </w:pPr>
            <w:r>
              <w:rPr>
                <w:rFonts w:ascii="Consolas" w:cs="Consolas" w:eastAsia="Consolas" w:hAnsi="Consolas"/>
                <w:sz w:val="17"/>
                <w:szCs w:val="17"/>
              </w:rPr>
              <w:t xml:space="preserve">CLIENTE → OWN.CLIENTE</w:t>
            </w:r>
          </w:p>
        </w:tc>
      </w:tr>
    </w:tbl>
    <w:p>
      <w:pPr>
        <w:spacing w:after="120"/>
      </w:pPr>
    </w:p>
    <w:p>
      <w:pPr>
        <w:pStyle w:val="Heading3"/>
        <w:spacing w:after="100" w:before="200"/>
      </w:pPr>
      <w:r>
        <w:t xml:space="preserve">5.2.1 Columnas</w:t>
      </w:r>
    </w:p>
    <w:p>
      <w:pPr>
        <w:pStyle w:val="ListParagraph"/>
        <w:numPr>
          <w:ilvl w:val="0"/>
          <w:numId w:val="2"/>
        </w:numPr>
        <w:spacing w:after="60" w:line="276"/>
      </w:pPr>
      <w:r>
        <w:rPr>
          <w:b/>
          <w:bCs/>
          <w:sz w:val="22"/>
          <w:szCs w:val="22"/>
        </w:rPr>
        <w:t xml:space="preserve">DEBE: </w:t>
      </w:r>
      <w:r>
        <w:rPr>
          <w:sz w:val="22"/>
          <w:szCs w:val="22"/>
        </w:rPr>
        <w:t xml:space="preserve">la clave primaria simple se llama </w:t>
      </w:r>
      <w:r>
        <w:rPr>
          <w:rFonts w:ascii="Consolas" w:cs="Consolas" w:eastAsia="Consolas" w:hAnsi="Consolas"/>
          <w:sz w:val="20"/>
          <w:szCs w:val="20"/>
        </w:rPr>
        <w:t xml:space="preserve">&lt;TABLA&gt;_ID</w:t>
      </w:r>
      <w:r>
        <w:rPr>
          <w:sz w:val="22"/>
          <w:szCs w:val="22"/>
        </w:rPr>
        <w:t xml:space="preserve"> (</w:t>
      </w:r>
      <w:r>
        <w:rPr>
          <w:rFonts w:ascii="Consolas" w:cs="Consolas" w:eastAsia="Consolas" w:hAnsi="Consolas"/>
          <w:sz w:val="20"/>
          <w:szCs w:val="20"/>
        </w:rPr>
        <w:t xml:space="preserve">CLIENTE_ID</w:t>
      </w:r>
      <w:r>
        <w:rPr>
          <w:sz w:val="22"/>
          <w:szCs w:val="22"/>
        </w:rPr>
        <w:t xml:space="preserve">), no solo </w:t>
      </w:r>
      <w:r>
        <w:rPr>
          <w:rFonts w:ascii="Consolas" w:cs="Consolas" w:eastAsia="Consolas" w:hAnsi="Consolas"/>
          <w:sz w:val="20"/>
          <w:szCs w:val="20"/>
        </w:rPr>
        <w:t xml:space="preserve">ID</w:t>
      </w:r>
      <w:r>
        <w:rPr>
          <w:sz w:val="22"/>
          <w:szCs w:val="22"/>
        </w:rPr>
        <w:t xml:space="preserve">. Así el JOIN se lee sin ambigüedad.</w:t>
      </w:r>
    </w:p>
    <w:p>
      <w:pPr>
        <w:pStyle w:val="ListParagraph"/>
        <w:numPr>
          <w:ilvl w:val="0"/>
          <w:numId w:val="2"/>
        </w:numPr>
        <w:spacing w:after="60" w:line="276"/>
      </w:pPr>
      <w:r>
        <w:rPr>
          <w:b/>
          <w:bCs/>
          <w:sz w:val="22"/>
          <w:szCs w:val="22"/>
        </w:rPr>
        <w:t xml:space="preserve">DEBE: </w:t>
      </w:r>
      <w:r>
        <w:rPr>
          <w:sz w:val="22"/>
          <w:szCs w:val="22"/>
        </w:rPr>
        <w:t xml:space="preserve">la clave foránea conservar el nombre de la columna referenciada (</w:t>
      </w:r>
      <w:r>
        <w:rPr>
          <w:rFonts w:ascii="Consolas" w:cs="Consolas" w:eastAsia="Consolas" w:hAnsi="Consolas"/>
          <w:sz w:val="20"/>
          <w:szCs w:val="20"/>
        </w:rPr>
        <w:t xml:space="preserve">PEDIDO.CLIENTE_ID</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no repetir el nombre de la tabla en las demás columnas: </w:t>
      </w:r>
      <w:r>
        <w:rPr>
          <w:rFonts w:ascii="Consolas" w:cs="Consolas" w:eastAsia="Consolas" w:hAnsi="Consolas"/>
          <w:sz w:val="20"/>
          <w:szCs w:val="20"/>
        </w:rPr>
        <w:t xml:space="preserve">CLIENTE.RAZON_SOCIAL</w:t>
      </w:r>
      <w:r>
        <w:rPr>
          <w:sz w:val="22"/>
          <w:szCs w:val="22"/>
        </w:rPr>
        <w:t xml:space="preserve">, no </w:t>
      </w:r>
      <w:r>
        <w:rPr>
          <w:rFonts w:ascii="Consolas" w:cs="Consolas" w:eastAsia="Consolas" w:hAnsi="Consolas"/>
          <w:sz w:val="20"/>
          <w:szCs w:val="20"/>
        </w:rPr>
        <w:t xml:space="preserve">CLIENTE.CLIENTE_RAZON_SOCIAL</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los booleanos usar el prefijo </w:t>
      </w:r>
      <w:r>
        <w:rPr>
          <w:rFonts w:ascii="Consolas" w:cs="Consolas" w:eastAsia="Consolas" w:hAnsi="Consolas"/>
          <w:sz w:val="20"/>
          <w:szCs w:val="20"/>
        </w:rPr>
        <w:t xml:space="preserve">ES_</w:t>
      </w:r>
      <w:r>
        <w:rPr>
          <w:sz w:val="22"/>
          <w:szCs w:val="22"/>
        </w:rPr>
        <w:t xml:space="preserve">, </w:t>
      </w:r>
      <w:r>
        <w:rPr>
          <w:rFonts w:ascii="Consolas" w:cs="Consolas" w:eastAsia="Consolas" w:hAnsi="Consolas"/>
          <w:sz w:val="20"/>
          <w:szCs w:val="20"/>
        </w:rPr>
        <w:t xml:space="preserve">TIENE_</w:t>
      </w:r>
      <w:r>
        <w:rPr>
          <w:sz w:val="22"/>
          <w:szCs w:val="22"/>
        </w:rPr>
        <w:t xml:space="preserve"> o el sufijo </w:t>
      </w:r>
      <w:r>
        <w:rPr>
          <w:rFonts w:ascii="Consolas" w:cs="Consolas" w:eastAsia="Consolas" w:hAnsi="Consolas"/>
          <w:sz w:val="20"/>
          <w:szCs w:val="20"/>
        </w:rPr>
        <w:t xml:space="preserve">_FLAG</w:t>
      </w:r>
      <w:r>
        <w:rPr>
          <w:sz w:val="22"/>
          <w:szCs w:val="22"/>
        </w:rPr>
        <w:t xml:space="preserve">, declarados como </w:t>
      </w:r>
      <w:r>
        <w:rPr>
          <w:rFonts w:ascii="Consolas" w:cs="Consolas" w:eastAsia="Consolas" w:hAnsi="Consolas"/>
          <w:sz w:val="20"/>
          <w:szCs w:val="20"/>
        </w:rPr>
        <w:t xml:space="preserve">NUMBER(1)</w:t>
      </w:r>
      <w:r>
        <w:rPr>
          <w:sz w:val="22"/>
          <w:szCs w:val="22"/>
        </w:rPr>
        <w:t xml:space="preserve"> con CHECK IN (0,1).</w:t>
      </w:r>
    </w:p>
    <w:p>
      <w:pPr>
        <w:pStyle w:val="ListParagraph"/>
        <w:numPr>
          <w:ilvl w:val="0"/>
          <w:numId w:val="2"/>
        </w:numPr>
        <w:spacing w:after="60" w:line="276"/>
      </w:pPr>
      <w:r>
        <w:rPr>
          <w:b/>
          <w:bCs/>
          <w:sz w:val="22"/>
          <w:szCs w:val="22"/>
        </w:rPr>
        <w:t xml:space="preserve">DEBE: </w:t>
      </w:r>
      <w:r>
        <w:rPr>
          <w:sz w:val="22"/>
          <w:szCs w:val="22"/>
        </w:rPr>
        <w:t xml:space="preserve">las fechas usar el prefijo </w:t>
      </w:r>
      <w:r>
        <w:rPr>
          <w:rFonts w:ascii="Consolas" w:cs="Consolas" w:eastAsia="Consolas" w:hAnsi="Consolas"/>
          <w:sz w:val="20"/>
          <w:szCs w:val="20"/>
        </w:rPr>
        <w:t xml:space="preserve">FEC_</w:t>
      </w:r>
      <w:r>
        <w:rPr>
          <w:sz w:val="22"/>
          <w:szCs w:val="22"/>
        </w:rPr>
        <w:t xml:space="preserve"> o el sufijo </w:t>
      </w:r>
      <w:r>
        <w:rPr>
          <w:rFonts w:ascii="Consolas" w:cs="Consolas" w:eastAsia="Consolas" w:hAnsi="Consolas"/>
          <w:sz w:val="20"/>
          <w:szCs w:val="20"/>
        </w:rPr>
        <w:t xml:space="preserve">_FECHA</w:t>
      </w:r>
      <w:r>
        <w:rPr>
          <w:sz w:val="22"/>
          <w:szCs w:val="22"/>
        </w:rPr>
        <w:t xml:space="preserve"> de forma consistente en todo el modelo (elegir uno).</w:t>
      </w:r>
    </w:p>
    <w:p>
      <w:pPr>
        <w:pStyle w:val="ListParagraph"/>
        <w:numPr>
          <w:ilvl w:val="0"/>
          <w:numId w:val="2"/>
        </w:numPr>
        <w:spacing w:after="60" w:line="276"/>
      </w:pPr>
      <w:r>
        <w:rPr>
          <w:b/>
          <w:bCs/>
          <w:sz w:val="22"/>
          <w:szCs w:val="22"/>
        </w:rPr>
        <w:t xml:space="preserve">DEBE: </w:t>
      </w:r>
      <w:r>
        <w:rPr>
          <w:sz w:val="22"/>
          <w:szCs w:val="22"/>
        </w:rPr>
        <w:t xml:space="preserve">toda tabla transaccional incluir las columnas de auditoría estándar.</w:t>
      </w:r>
    </w:p>
    <w:p>
      <w:pPr>
        <w:pStyle w:val="Heading3"/>
        <w:spacing w:after="100" w:before="200"/>
      </w:pPr>
      <w:r>
        <w:t xml:space="preserve">5.2.2 Columnas de auditoría obligatorias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USUARIO_CREACION      VARCHAR2(50)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FEC_CREACION          TIMESTAMP      DEFAULT SYSTIMESTAMP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USUARIO_MODIFICACION  VARCHAR2(50)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FEC_MODIFICACION      TIMESTAMP      NULL</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ESTADO_REGISTRO       NUMBER(1)      DEFAULT 1 NOT NULL   -- 1=activo, 0=anulado</w:t>
      </w:r>
    </w:p>
    <w:p>
      <w:pPr>
        <w:pStyle w:val="ListParagraph"/>
        <w:numPr>
          <w:ilvl w:val="0"/>
          <w:numId w:val="2"/>
        </w:numPr>
        <w:spacing w:after="60" w:line="276"/>
      </w:pPr>
      <w:r>
        <w:rPr>
          <w:b/>
          <w:bCs/>
          <w:sz w:val="22"/>
          <w:szCs w:val="22"/>
        </w:rPr>
        <w:t xml:space="preserve">DEBE: </w:t>
      </w:r>
      <w:r>
        <w:rPr>
          <w:sz w:val="22"/>
          <w:szCs w:val="22"/>
        </w:rPr>
        <w:t xml:space="preserve">el borrado ser lógico mediante </w:t>
      </w:r>
      <w:r>
        <w:rPr>
          <w:rFonts w:ascii="Consolas" w:cs="Consolas" w:eastAsia="Consolas" w:hAnsi="Consolas"/>
          <w:sz w:val="20"/>
          <w:szCs w:val="20"/>
        </w:rPr>
        <w:t xml:space="preserve">ESTADO_REGISTRO</w:t>
      </w:r>
      <w:r>
        <w:rPr>
          <w:sz w:val="22"/>
          <w:szCs w:val="22"/>
        </w:rPr>
        <w:t xml:space="preserve">. El DELETE físico solo se permite en tablas temporales o de staging.</w:t>
      </w:r>
    </w:p>
    <w:p>
      <w:pPr>
        <w:pStyle w:val="Heading3"/>
        <w:spacing w:after="100" w:before="200"/>
      </w:pPr>
      <w:r>
        <w:t xml:space="preserve">5.2.3 Tipos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3000"/>
        <w:gridCol w:w="3400"/>
      </w:tblGrid>
      <w:tr>
        <w:tc>
          <w:tcPr>
            <w:tcW w:type="dxa" w:w="2600"/>
            <w:gridSpan w:val="1"/>
            <w:shd w:fill="DCE6F1" w:val="clear"/>
            <w:tcMar>
              <w:top w:type="dxa" w:w="60"/>
              <w:left w:type="dxa" w:w="100"/>
              <w:bottom w:type="dxa" w:w="60"/>
              <w:right w:type="dxa" w:w="100"/>
            </w:tcMar>
          </w:tcPr>
          <w:p>
            <w:pPr>
              <w:spacing w:after="0"/>
            </w:pPr>
            <w:r>
              <w:rPr>
                <w:b/>
                <w:bCs/>
                <w:sz w:val="19"/>
                <w:szCs w:val="19"/>
              </w:rPr>
              <w:t xml:space="preserve">Concepto</w:t>
            </w:r>
          </w:p>
        </w:tc>
        <w:tc>
          <w:tcPr>
            <w:tcW w:type="dxa" w:w="3000"/>
            <w:gridSpan w:val="1"/>
            <w:shd w:fill="DCE6F1" w:val="clear"/>
            <w:tcMar>
              <w:top w:type="dxa" w:w="60"/>
              <w:left w:type="dxa" w:w="100"/>
              <w:bottom w:type="dxa" w:w="60"/>
              <w:right w:type="dxa" w:w="100"/>
            </w:tcMar>
          </w:tcPr>
          <w:p>
            <w:pPr>
              <w:spacing w:after="0"/>
            </w:pPr>
            <w:r>
              <w:rPr>
                <w:b/>
                <w:bCs/>
                <w:sz w:val="19"/>
                <w:szCs w:val="19"/>
              </w:rPr>
              <w:t xml:space="preserve">Tipo Oracle</w:t>
            </w:r>
          </w:p>
        </w:tc>
        <w:tc>
          <w:tcPr>
            <w:tcW w:type="dxa" w:w="3400"/>
            <w:gridSpan w:val="1"/>
            <w:shd w:fill="DCE6F1" w:val="clear"/>
            <w:tcMar>
              <w:top w:type="dxa" w:w="60"/>
              <w:left w:type="dxa" w:w="100"/>
              <w:bottom w:type="dxa" w:w="60"/>
              <w:right w:type="dxa" w:w="100"/>
            </w:tcMar>
          </w:tcPr>
          <w:p>
            <w:pPr>
              <w:spacing w:after="0"/>
            </w:pPr>
            <w:r>
              <w:rPr>
                <w:b/>
                <w:bCs/>
                <w:sz w:val="19"/>
                <w:szCs w:val="19"/>
              </w:rPr>
              <w:t xml:space="preserve">Tipo C#</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Identificador numérico</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NUMBER(19)</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long</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Identificador GUID</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RAW(16)</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Guid</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Texto corto</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VARCHAR2(n CHAR)</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string</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Texto largo</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CLOB</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string</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Importe monetario</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NUMBER(18,2)</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decimal</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Porcentaje / tasa</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NUMBER(9,6)</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decimal</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Booleano</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NUMBER(1) CHECK IN (0,1)</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bool</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Fecha sin hora</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DATE</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DateOnly / DateTime</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Fecha y hora</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TIMESTAMP(6)</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DateTime</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Fecha con zona horaria</w:t>
            </w:r>
          </w:p>
        </w:tc>
        <w:tc>
          <w:tcPr>
            <w:tcW w:type="dxa" w:w="3000"/>
            <w:tcMar>
              <w:top w:type="dxa" w:w="60"/>
              <w:left w:type="dxa" w:w="100"/>
              <w:bottom w:type="dxa" w:w="60"/>
              <w:right w:type="dxa" w:w="100"/>
            </w:tcMar>
          </w:tcPr>
          <w:p>
            <w:pPr>
              <w:spacing w:after="0"/>
            </w:pPr>
            <w:r>
              <w:rPr>
                <w:rFonts w:ascii="Consolas" w:cs="Consolas" w:eastAsia="Consolas" w:hAnsi="Consolas"/>
                <w:sz w:val="17"/>
                <w:szCs w:val="17"/>
              </w:rPr>
              <w:t xml:space="preserve">TIMESTAMP WITH TIME ZONE</w:t>
            </w:r>
          </w:p>
        </w:tc>
        <w:tc>
          <w:tcPr>
            <w:tcW w:type="dxa" w:w="3400"/>
            <w:tcMar>
              <w:top w:type="dxa" w:w="60"/>
              <w:left w:type="dxa" w:w="100"/>
              <w:bottom w:type="dxa" w:w="60"/>
              <w:right w:type="dxa" w:w="100"/>
            </w:tcMar>
          </w:tcPr>
          <w:p>
            <w:pPr>
              <w:spacing w:after="0"/>
            </w:pPr>
            <w:r>
              <w:rPr>
                <w:rFonts w:ascii="Consolas" w:cs="Consolas" w:eastAsia="Consolas" w:hAnsi="Consolas"/>
                <w:sz w:val="17"/>
                <w:szCs w:val="17"/>
              </w:rPr>
              <w:t xml:space="preserve">DateTimeOffset</w:t>
            </w:r>
          </w:p>
        </w:tc>
      </w:tr>
    </w:tbl>
    <w:p>
      <w:pPr>
        <w:spacing w:after="120"/>
      </w:pPr>
    </w:p>
    <w:p>
      <w:pPr>
        <w:pStyle w:val="ListParagraph"/>
        <w:numPr>
          <w:ilvl w:val="0"/>
          <w:numId w:val="2"/>
        </w:numPr>
        <w:spacing w:after="60" w:line="276"/>
      </w:pPr>
      <w:r>
        <w:rPr>
          <w:b/>
          <w:bCs/>
          <w:sz w:val="22"/>
          <w:szCs w:val="22"/>
        </w:rPr>
        <w:t xml:space="preserve">NO DEBE: </w:t>
      </w:r>
      <w:r>
        <w:rPr>
          <w:sz w:val="22"/>
          <w:szCs w:val="22"/>
        </w:rPr>
        <w:t xml:space="preserve">usarse </w:t>
      </w:r>
      <w:r>
        <w:rPr>
          <w:rFonts w:ascii="Consolas" w:cs="Consolas" w:eastAsia="Consolas" w:hAnsi="Consolas"/>
          <w:sz w:val="20"/>
          <w:szCs w:val="20"/>
        </w:rPr>
        <w:t xml:space="preserve">VARCHAR</w:t>
      </w:r>
      <w:r>
        <w:rPr>
          <w:sz w:val="22"/>
          <w:szCs w:val="22"/>
        </w:rPr>
        <w:t xml:space="preserve"> (usar siempre </w:t>
      </w:r>
      <w:r>
        <w:rPr>
          <w:rFonts w:ascii="Consolas" w:cs="Consolas" w:eastAsia="Consolas" w:hAnsi="Consolas"/>
          <w:sz w:val="20"/>
          <w:szCs w:val="20"/>
        </w:rPr>
        <w:t xml:space="preserve">VARCHAR2</w:t>
      </w:r>
      <w:r>
        <w:rPr>
          <w:sz w:val="22"/>
          <w:szCs w:val="22"/>
        </w:rPr>
        <w:t xml:space="preserve">), ni </w:t>
      </w:r>
      <w:r>
        <w:rPr>
          <w:rFonts w:ascii="Consolas" w:cs="Consolas" w:eastAsia="Consolas" w:hAnsi="Consolas"/>
          <w:sz w:val="20"/>
          <w:szCs w:val="20"/>
        </w:rPr>
        <w:t xml:space="preserve">NUMBER</w:t>
      </w:r>
      <w:r>
        <w:rPr>
          <w:sz w:val="22"/>
          <w:szCs w:val="22"/>
        </w:rPr>
        <w:t xml:space="preserve"> sin precisión, ni </w:t>
      </w:r>
      <w:r>
        <w:rPr>
          <w:rFonts w:ascii="Consolas" w:cs="Consolas" w:eastAsia="Consolas" w:hAnsi="Consolas"/>
          <w:sz w:val="20"/>
          <w:szCs w:val="20"/>
        </w:rPr>
        <w:t xml:space="preserve">FLOAT</w:t>
      </w:r>
      <w:r>
        <w:rPr>
          <w:sz w:val="22"/>
          <w:szCs w:val="22"/>
        </w:rPr>
        <w:t xml:space="preserve"> para importes.</w:t>
      </w:r>
    </w:p>
    <w:p>
      <w:pPr>
        <w:pStyle w:val="ListParagraph"/>
        <w:numPr>
          <w:ilvl w:val="0"/>
          <w:numId w:val="2"/>
        </w:numPr>
        <w:spacing w:after="60" w:line="276"/>
      </w:pPr>
      <w:r>
        <w:rPr>
          <w:b/>
          <w:bCs/>
          <w:sz w:val="22"/>
          <w:szCs w:val="22"/>
        </w:rPr>
        <w:t xml:space="preserve">DEBE: </w:t>
      </w:r>
      <w:r>
        <w:rPr>
          <w:sz w:val="22"/>
          <w:szCs w:val="22"/>
        </w:rPr>
        <w:t xml:space="preserve">declararse los VARCHAR2 con semántica </w:t>
      </w:r>
      <w:r>
        <w:rPr>
          <w:rFonts w:ascii="Consolas" w:cs="Consolas" w:eastAsia="Consolas" w:hAnsi="Consolas"/>
          <w:sz w:val="20"/>
          <w:szCs w:val="20"/>
        </w:rPr>
        <w:t xml:space="preserve">CHAR</w:t>
      </w:r>
      <w:r>
        <w:rPr>
          <w:sz w:val="22"/>
          <w:szCs w:val="22"/>
        </w:rPr>
        <w:t xml:space="preserve"> para evitar truncamientos con caracteres multibyte.</w:t>
      </w:r>
    </w:p>
    <w:p>
      <w:pPr>
        <w:pStyle w:val="Heading3"/>
        <w:spacing w:after="100" w:before="200"/>
      </w:pPr>
      <w:r>
        <w:t xml:space="preserve">5.2.4 Ejemplo de DDL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CREATE TABLE CLIENTE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CLIENTE_ID            NUMBER(19)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RAZON_SOCIAL          VARCHAR2(200 CHAR)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RUC                   VARCHAR2(11 CHAR)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CORREO_ELECTRONICO    VARCHAR2(150 CHAR)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LIMITE_CREDITO        NUMBER(18,2)   DEFAULT 0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ES_AGENTE_RETENCION   NUMBER(1)      DEFAULT 0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USUARIO_CREACION      VARCHAR2(50 CHAR)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FEC_CREACION          TIMESTAMP      DEFAULT SYSTIMESTAMP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USUARIO_MODIFICACION  VARCHAR2(50 CHAR)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FEC_MODIFICACION      TIMESTAMP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ESTADO_REGISTRO       NUMBER(1)      DEFAULT 1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CONSTRAINT PK_CLIENTE PRIMARY KEY (CLIENTE_ID),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CONSTRAINT UQ_CLIENTE_RUC UNIQUE (RUC),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CONSTRAINT CK_CLIENTE_ES_AGENTE_RETENCION CHECK (ES_AGENTE_RETENCION IN (0,1)),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CONSTRAINT CK_CLIENTE_LIMITE_CREDITO CHECK (LIMITE_CREDITO &gt;= 0)</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COMMENT ON TABLE CLIENTE IS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'Clientes registrados con capacidad de facturacion';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COMMENT ON COLUMN CLIENTE.ES_AGENTE_RETENCION IS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'Indica si el cliente retiene IGV: 1=si, 0=no';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CREATE INDEX IX_CLIENTE_RAZON_SOCIAL ON CLIENTE (RAZON_SOCIAL);</w:t>
      </w:r>
    </w:p>
    <w:p>
      <w:pPr>
        <w:pStyle w:val="ListParagraph"/>
        <w:numPr>
          <w:ilvl w:val="0"/>
          <w:numId w:val="2"/>
        </w:numPr>
        <w:spacing w:after="60" w:line="276"/>
      </w:pPr>
      <w:r>
        <w:rPr>
          <w:b/>
          <w:bCs/>
          <w:sz w:val="22"/>
          <w:szCs w:val="22"/>
        </w:rPr>
        <w:t xml:space="preserve">DEBE: </w:t>
      </w:r>
      <w:r>
        <w:rPr>
          <w:sz w:val="22"/>
          <w:szCs w:val="22"/>
        </w:rPr>
        <w:t xml:space="preserve">toda tabla y toda columna no evidente llevar </w:t>
      </w:r>
      <w:r>
        <w:rPr>
          <w:rFonts w:ascii="Consolas" w:cs="Consolas" w:eastAsia="Consolas" w:hAnsi="Consolas"/>
          <w:sz w:val="20"/>
          <w:szCs w:val="20"/>
        </w:rPr>
        <w:t xml:space="preserve">COMMENT ON</w:t>
      </w:r>
      <w:r>
        <w:rPr>
          <w:sz w:val="22"/>
          <w:szCs w:val="22"/>
        </w:rPr>
        <w:t xml:space="preserve">. El diccionario de datos es documentación viva.</w:t>
      </w:r>
    </w:p>
    <w:p>
      <w:r>
        <w:br w:type="page"/>
      </w:r>
    </w:p>
    <w:p>
      <w:pPr>
        <w:pStyle w:val="Heading1"/>
        <w:spacing w:after="160" w:before="360"/>
      </w:pPr>
      <w:r>
        <w:t xml:space="preserve">6. Stored procedures: nombres legibles</w:t>
      </w:r>
    </w:p>
    <w:p>
      <w:pPr>
        <w:spacing w:after="120" w:line="276"/>
        <w:jc w:val="both"/>
      </w:pPr>
      <w:r>
        <w:rPr>
          <w:sz w:val="22"/>
          <w:szCs w:val="22"/>
        </w:rPr>
        <w:t xml:space="preserve">El nombre de un stored procedure debe poder leerse en voz alta como una frase que describe exactamente lo que hace. Si hace falta abrir el cuerpo del procedimiento para saber qué devuelve, el nombre está mal.</w:t>
      </w:r>
    </w:p>
    <w:p>
      <w:pPr>
        <w:pStyle w:val="Heading2"/>
        <w:spacing w:after="120" w:before="260"/>
      </w:pPr>
      <w:r>
        <w:t xml:space="preserve">6.1 Fórmula de nombrado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[PKG_&lt;ENTIDAD&gt;.]  SP_&lt;VERBO&gt;_&lt;ENTIDAD&gt;[_POR_&lt;CRITERIO&gt;][_&lt;CALIFICADOR&gt;]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PKG_CLIENTE.SP_OBTENER_CLIENTE_POR_ID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 criterio de búsqueda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 sobre qué entidad actúa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qué hace</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 prefijo de tipo de objeto</w:t>
      </w:r>
    </w:p>
    <w:p>
      <w:pPr>
        <w:pStyle w:val="ListParagraph"/>
        <w:numPr>
          <w:ilvl w:val="0"/>
          <w:numId w:val="2"/>
        </w:numPr>
        <w:spacing w:after="60" w:line="276"/>
      </w:pPr>
      <w:r>
        <w:rPr>
          <w:b/>
          <w:bCs/>
          <w:sz w:val="22"/>
          <w:szCs w:val="22"/>
        </w:rPr>
        <w:t xml:space="preserve">DEBE: </w:t>
      </w:r>
      <w:r>
        <w:rPr>
          <w:sz w:val="22"/>
          <w:szCs w:val="22"/>
        </w:rPr>
        <w:t xml:space="preserve">los procedimientos agruparse en paquetes por entidad (</w:t>
      </w:r>
      <w:r>
        <w:rPr>
          <w:rFonts w:ascii="Consolas" w:cs="Consolas" w:eastAsia="Consolas" w:hAnsi="Consolas"/>
          <w:sz w:val="20"/>
          <w:szCs w:val="20"/>
        </w:rPr>
        <w:t xml:space="preserve">PKG_CLIENTE</w:t>
      </w:r>
      <w:r>
        <w:rPr>
          <w:sz w:val="22"/>
          <w:szCs w:val="22"/>
        </w:rPr>
        <w:t xml:space="preserve">, </w:t>
      </w:r>
      <w:r>
        <w:rPr>
          <w:rFonts w:ascii="Consolas" w:cs="Consolas" w:eastAsia="Consolas" w:hAnsi="Consolas"/>
          <w:sz w:val="20"/>
          <w:szCs w:val="20"/>
        </w:rPr>
        <w:t xml:space="preserve">PKG_PEDIDO</w:t>
      </w:r>
      <w:r>
        <w:rPr>
          <w:sz w:val="22"/>
          <w:szCs w:val="22"/>
        </w:rPr>
        <w:t xml:space="preserve">). Un procedimiento suelto fuera de un paquete requiere justificación.</w:t>
      </w:r>
    </w:p>
    <w:p>
      <w:pPr>
        <w:pStyle w:val="ListParagraph"/>
        <w:numPr>
          <w:ilvl w:val="0"/>
          <w:numId w:val="2"/>
        </w:numPr>
        <w:spacing w:after="60" w:line="276"/>
      </w:pPr>
      <w:r>
        <w:rPr>
          <w:b/>
          <w:bCs/>
          <w:sz w:val="22"/>
          <w:szCs w:val="22"/>
        </w:rPr>
        <w:t xml:space="preserve">DEBE: </w:t>
      </w:r>
      <w:r>
        <w:rPr>
          <w:sz w:val="22"/>
          <w:szCs w:val="22"/>
        </w:rPr>
        <w:t xml:space="preserve">usarse el prefijo </w:t>
      </w:r>
      <w:r>
        <w:rPr>
          <w:rFonts w:ascii="Consolas" w:cs="Consolas" w:eastAsia="Consolas" w:hAnsi="Consolas"/>
          <w:sz w:val="20"/>
          <w:szCs w:val="20"/>
        </w:rPr>
        <w:t xml:space="preserve">SP_</w:t>
      </w:r>
      <w:r>
        <w:rPr>
          <w:sz w:val="22"/>
          <w:szCs w:val="22"/>
        </w:rPr>
        <w:t xml:space="preserve"> para procedimientos y </w:t>
      </w:r>
      <w:r>
        <w:rPr>
          <w:rFonts w:ascii="Consolas" w:cs="Consolas" w:eastAsia="Consolas" w:hAnsi="Consolas"/>
          <w:sz w:val="20"/>
          <w:szCs w:val="20"/>
        </w:rPr>
        <w:t xml:space="preserve">FN_</w:t>
      </w:r>
      <w:r>
        <w:rPr>
          <w:sz w:val="22"/>
          <w:szCs w:val="22"/>
        </w:rPr>
        <w:t xml:space="preserve"> para funciones.</w:t>
      </w:r>
    </w:p>
    <w:p>
      <w:pPr>
        <w:pStyle w:val="ListParagraph"/>
        <w:numPr>
          <w:ilvl w:val="0"/>
          <w:numId w:val="2"/>
        </w:numPr>
        <w:spacing w:after="60" w:line="276"/>
      </w:pPr>
      <w:r>
        <w:rPr>
          <w:b/>
          <w:bCs/>
          <w:sz w:val="22"/>
          <w:szCs w:val="22"/>
        </w:rPr>
        <w:t xml:space="preserve">NO DEBE: </w:t>
      </w:r>
      <w:r>
        <w:rPr>
          <w:sz w:val="22"/>
          <w:szCs w:val="22"/>
        </w:rPr>
        <w:t xml:space="preserve">abreviarse el verbo ni la entidad: </w:t>
      </w:r>
      <w:r>
        <w:rPr>
          <w:rFonts w:ascii="Consolas" w:cs="Consolas" w:eastAsia="Consolas" w:hAnsi="Consolas"/>
          <w:sz w:val="20"/>
          <w:szCs w:val="20"/>
        </w:rPr>
        <w:t xml:space="preserve">SP_OBT_CLI_X_ID</w:t>
      </w:r>
      <w:r>
        <w:rPr>
          <w:sz w:val="22"/>
          <w:szCs w:val="22"/>
        </w:rPr>
        <w:t xml:space="preserve"> está prohibido.</w:t>
      </w:r>
    </w:p>
    <w:p>
      <w:pPr>
        <w:pStyle w:val="ListParagraph"/>
        <w:numPr>
          <w:ilvl w:val="0"/>
          <w:numId w:val="2"/>
        </w:numPr>
        <w:spacing w:after="60" w:line="276"/>
      </w:pPr>
      <w:r>
        <w:rPr>
          <w:b/>
          <w:bCs/>
          <w:sz w:val="22"/>
          <w:szCs w:val="22"/>
        </w:rPr>
        <w:t xml:space="preserve">NO DEBE: </w:t>
      </w:r>
      <w:r>
        <w:rPr>
          <w:sz w:val="22"/>
          <w:szCs w:val="22"/>
        </w:rPr>
        <w:t xml:space="preserve">usarse numeración ni sufijos de versión: </w:t>
      </w:r>
      <w:r>
        <w:rPr>
          <w:rFonts w:ascii="Consolas" w:cs="Consolas" w:eastAsia="Consolas" w:hAnsi="Consolas"/>
          <w:sz w:val="20"/>
          <w:szCs w:val="20"/>
        </w:rPr>
        <w:t xml:space="preserve">SP_CLIENTE_01</w:t>
      </w:r>
      <w:r>
        <w:rPr>
          <w:sz w:val="22"/>
          <w:szCs w:val="22"/>
        </w:rPr>
        <w:t xml:space="preserve">, </w:t>
      </w:r>
      <w:r>
        <w:rPr>
          <w:rFonts w:ascii="Consolas" w:cs="Consolas" w:eastAsia="Consolas" w:hAnsi="Consolas"/>
          <w:sz w:val="20"/>
          <w:szCs w:val="20"/>
        </w:rPr>
        <w:t xml:space="preserve">SP_CLIENTE_NUEVO</w:t>
      </w:r>
      <w:r>
        <w:rPr>
          <w:sz w:val="22"/>
          <w:szCs w:val="22"/>
        </w:rPr>
        <w:t xml:space="preserve">, </w:t>
      </w:r>
      <w:r>
        <w:rPr>
          <w:rFonts w:ascii="Consolas" w:cs="Consolas" w:eastAsia="Consolas" w:hAnsi="Consolas"/>
          <w:sz w:val="20"/>
          <w:szCs w:val="20"/>
        </w:rPr>
        <w:t xml:space="preserve">SP_CLIENTE_V2</w:t>
      </w:r>
      <w:r>
        <w:rPr>
          <w:sz w:val="22"/>
          <w:szCs w:val="22"/>
        </w:rPr>
        <w:t xml:space="preserve"> están prohibidos.</w:t>
      </w:r>
    </w:p>
    <w:p>
      <w:pPr>
        <w:pStyle w:val="Heading2"/>
        <w:spacing w:after="120" w:before="260"/>
      </w:pPr>
      <w:r>
        <w:t xml:space="preserve">6.2 Catálogo de verbos permitidos</w:t>
      </w:r>
    </w:p>
    <w:p>
      <w:pPr>
        <w:spacing w:after="120" w:line="276"/>
        <w:jc w:val="both"/>
      </w:pPr>
      <w:r>
        <w:rPr>
          <w:sz w:val="22"/>
          <w:szCs w:val="22"/>
        </w:rPr>
        <w:t xml:space="preserve">Solo se permiten estos verbos. Un verbo, un significado; sin sinónimos.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800"/>
        <w:gridCol w:w="3200"/>
        <w:gridCol w:w="4000"/>
      </w:tblGrid>
      <w:tr>
        <w:tc>
          <w:tcPr>
            <w:tcW w:type="dxa" w:w="1800"/>
            <w:gridSpan w:val="1"/>
            <w:shd w:fill="DCE6F1" w:val="clear"/>
            <w:tcMar>
              <w:top w:type="dxa" w:w="60"/>
              <w:left w:type="dxa" w:w="100"/>
              <w:bottom w:type="dxa" w:w="60"/>
              <w:right w:type="dxa" w:w="100"/>
            </w:tcMar>
          </w:tcPr>
          <w:p>
            <w:pPr>
              <w:spacing w:after="0"/>
            </w:pPr>
            <w:r>
              <w:rPr>
                <w:b/>
                <w:bCs/>
                <w:sz w:val="19"/>
                <w:szCs w:val="19"/>
              </w:rPr>
              <w:t xml:space="preserve">Verbo</w:t>
            </w:r>
          </w:p>
        </w:tc>
        <w:tc>
          <w:tcPr>
            <w:tcW w:type="dxa" w:w="3200"/>
            <w:gridSpan w:val="1"/>
            <w:shd w:fill="DCE6F1" w:val="clear"/>
            <w:tcMar>
              <w:top w:type="dxa" w:w="60"/>
              <w:left w:type="dxa" w:w="100"/>
              <w:bottom w:type="dxa" w:w="60"/>
              <w:right w:type="dxa" w:w="100"/>
            </w:tcMar>
          </w:tcPr>
          <w:p>
            <w:pPr>
              <w:spacing w:after="0"/>
            </w:pPr>
            <w:r>
              <w:rPr>
                <w:b/>
                <w:bCs/>
                <w:sz w:val="19"/>
                <w:szCs w:val="19"/>
              </w:rPr>
              <w:t xml:space="preserve">Significado exacto</w:t>
            </w:r>
          </w:p>
        </w:tc>
        <w:tc>
          <w:tcPr>
            <w:tcW w:type="dxa" w:w="4000"/>
            <w:gridSpan w:val="1"/>
            <w:shd w:fill="DCE6F1" w:val="clear"/>
            <w:tcMar>
              <w:top w:type="dxa" w:w="60"/>
              <w:left w:type="dxa" w:w="100"/>
              <w:bottom w:type="dxa" w:w="60"/>
              <w:right w:type="dxa" w:w="100"/>
            </w:tcMar>
          </w:tcPr>
          <w:p>
            <w:pPr>
              <w:spacing w:after="0"/>
            </w:pPr>
            <w:r>
              <w:rPr>
                <w:b/>
                <w:bCs/>
                <w:sz w:val="19"/>
                <w:szCs w:val="19"/>
              </w:rPr>
              <w:t xml:space="preserve">Ejemplo</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OBTENER</w:t>
            </w:r>
          </w:p>
        </w:tc>
        <w:tc>
          <w:tcPr>
            <w:tcW w:type="dxa" w:w="3200"/>
            <w:gridSpan w:val="1"/>
            <w:tcMar>
              <w:top w:type="dxa" w:w="60"/>
              <w:left w:type="dxa" w:w="100"/>
              <w:bottom w:type="dxa" w:w="60"/>
              <w:right w:type="dxa" w:w="100"/>
            </w:tcMar>
          </w:tcPr>
          <w:p>
            <w:pPr>
              <w:spacing w:after="0"/>
            </w:pPr>
            <w:r>
              <w:rPr>
                <w:b w:val="false"/>
                <w:bCs w:val="false"/>
                <w:sz w:val="19"/>
                <w:szCs w:val="19"/>
              </w:rPr>
              <w:t xml:space="preserve">Devuelve un registro único o un valor escalar</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SP_OBTENER_CLIENTE_POR_ID</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LISTAR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Devuelve un conjunto de registros (cursor)</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SP_LISTAR_CLIENTES_POR_ESTADO</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BUSCAR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Devuelve un conjunto con filtros opcionales y paginación</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SP_BUSCAR_PEDIDOS_PAGINADO</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REGISTRAR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Inserta un registro nuevo</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SP_REGISTRAR_CLIENTE</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ACTUALIZAR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Modifica un registro existente</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SP_ACTUALIZAR_CLIENTE</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ANULAR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Baja lógica (ESTADO_REGISTRO = 0)</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SP_ANULAR_PEDIDO</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ELIMINAR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Borrado físico. Uso excepcional y autorizado</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SP_ELIMINAR_CARRITO_TEMPORAL</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VALIDAR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Verifica una regla y devuelve resultado, sin modificar datos</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SP_VALIDAR_LINEA_CREDITO_CLIENTE</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PROCESAR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Ejecuta un proceso de negocio con múltiples pasos</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SP_PROCESAR_CIERRE_MENSUAL</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GENERAR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Produce un dato o documento derivado</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SP_GENERAR_CORRELATIVO_COMPROBANTE</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EXISTE</w:t>
            </w:r>
          </w:p>
        </w:tc>
        <w:tc>
          <w:tcPr>
            <w:tcW w:type="dxa" w:w="3200"/>
            <w:gridSpan w:val="1"/>
            <w:tcMar>
              <w:top w:type="dxa" w:w="60"/>
              <w:left w:type="dxa" w:w="100"/>
              <w:bottom w:type="dxa" w:w="60"/>
              <w:right w:type="dxa" w:w="100"/>
            </w:tcMar>
          </w:tcPr>
          <w:p>
            <w:pPr>
              <w:spacing w:after="0"/>
            </w:pPr>
            <w:r>
              <w:rPr>
                <w:b w:val="false"/>
                <w:bCs w:val="false"/>
                <w:sz w:val="19"/>
                <w:szCs w:val="19"/>
              </w:rPr>
              <w:t xml:space="preserve">Función que devuelve 1 o 0</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FN_EXISTE_CLIENTE_POR_RUC</w:t>
            </w:r>
          </w:p>
        </w:tc>
      </w:tr>
      <w:tr>
        <w:tc>
          <w:tcPr>
            <w:tcW w:type="dxa" w:w="1800"/>
            <w:tcMar>
              <w:top w:type="dxa" w:w="60"/>
              <w:left w:type="dxa" w:w="100"/>
              <w:bottom w:type="dxa" w:w="60"/>
              <w:right w:type="dxa" w:w="100"/>
            </w:tcMar>
          </w:tcPr>
          <w:p>
            <w:pPr>
              <w:spacing w:after="0"/>
            </w:pPr>
            <w:r>
              <w:rPr>
                <w:rFonts w:ascii="Consolas" w:cs="Consolas" w:eastAsia="Consolas" w:hAnsi="Consolas"/>
                <w:sz w:val="17"/>
                <w:szCs w:val="17"/>
              </w:rPr>
              <w:t xml:space="preserve">CALCULAR</w:t>
            </w:r>
          </w:p>
        </w:tc>
        <w:tc>
          <w:tcPr>
            <w:tcW w:type="dxa" w:w="3200"/>
            <w:gridSpan w:val="1"/>
            <w:tcMar>
              <w:top w:type="dxa" w:w="60"/>
              <w:left w:type="dxa" w:w="100"/>
              <w:bottom w:type="dxa" w:w="60"/>
              <w:right w:type="dxa" w:w="100"/>
            </w:tcMar>
          </w:tcPr>
          <w:p>
            <w:pPr>
              <w:spacing w:after="0"/>
            </w:pPr>
            <w:r>
              <w:rPr>
                <w:b w:val="false"/>
                <w:bCs w:val="false"/>
                <w:sz w:val="19"/>
                <w:szCs w:val="19"/>
              </w:rPr>
              <w:t xml:space="preserve">Función que devuelve un valor calculado</w:t>
            </w:r>
          </w:p>
        </w:tc>
        <w:tc>
          <w:tcPr>
            <w:tcW w:type="dxa" w:w="4000"/>
            <w:tcMar>
              <w:top w:type="dxa" w:w="60"/>
              <w:left w:type="dxa" w:w="100"/>
              <w:bottom w:type="dxa" w:w="60"/>
              <w:right w:type="dxa" w:w="100"/>
            </w:tcMar>
          </w:tcPr>
          <w:p>
            <w:pPr>
              <w:spacing w:after="0"/>
            </w:pPr>
            <w:r>
              <w:rPr>
                <w:rFonts w:ascii="Consolas" w:cs="Consolas" w:eastAsia="Consolas" w:hAnsi="Consolas"/>
                <w:sz w:val="17"/>
                <w:szCs w:val="17"/>
              </w:rPr>
              <w:t xml:space="preserve">FN_CALCULAR_SALDO_CLIENTE</w:t>
            </w:r>
          </w:p>
        </w:tc>
      </w:tr>
    </w:tbl>
    <w:p>
      <w:pPr>
        <w:spacing w:after="120"/>
      </w:pPr>
    </w:p>
    <w:p>
      <w:pPr>
        <w:spacing w:after="120" w:line="276"/>
        <w:jc w:val="left"/>
      </w:pPr>
      <w:r>
        <w:rPr>
          <w:b/>
          <w:bCs/>
          <w:sz w:val="22"/>
          <w:szCs w:val="22"/>
        </w:rPr>
        <w:t xml:space="preserve">Regla de número: </w:t>
      </w:r>
      <w:r>
        <w:rPr>
          <w:sz w:val="22"/>
          <w:szCs w:val="22"/>
        </w:rPr>
        <w:t xml:space="preserve">el sustantivo va en singular cuando el SP devuelve o afecta un registro, y en plural cuando devuelve varios. </w:t>
      </w:r>
      <w:r>
        <w:rPr>
          <w:rFonts w:ascii="Consolas" w:cs="Consolas" w:eastAsia="Consolas" w:hAnsi="Consolas"/>
          <w:sz w:val="20"/>
          <w:szCs w:val="20"/>
        </w:rPr>
        <w:t xml:space="preserve">SP_OBTENER_CLIENTE_POR_ID</w:t>
      </w:r>
      <w:r>
        <w:rPr>
          <w:sz w:val="22"/>
          <w:szCs w:val="22"/>
        </w:rPr>
        <w:t xml:space="preserve"> devuelve uno; </w:t>
      </w:r>
      <w:r>
        <w:rPr>
          <w:rFonts w:ascii="Consolas" w:cs="Consolas" w:eastAsia="Consolas" w:hAnsi="Consolas"/>
          <w:sz w:val="20"/>
          <w:szCs w:val="20"/>
        </w:rPr>
        <w:t xml:space="preserve">SP_LISTAR_CLIENTES_POR_ESTADO</w:t>
      </w:r>
      <w:r>
        <w:rPr>
          <w:sz w:val="22"/>
          <w:szCs w:val="22"/>
        </w:rPr>
        <w:t xml:space="preserve"> devuelve varios. El plural es la señal de que el consumidor recibirá un cursor.</w:t>
      </w:r>
    </w:p>
    <w:p>
      <w:pPr>
        <w:pStyle w:val="Heading2"/>
        <w:spacing w:after="120" w:before="260"/>
      </w:pPr>
      <w:r>
        <w:t xml:space="preserve">6.3 Comparativa de nombres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400"/>
        <w:gridCol w:w="4600"/>
      </w:tblGrid>
      <w:tr>
        <w:tc>
          <w:tcPr>
            <w:tcW w:type="dxa" w:w="4400"/>
            <w:gridSpan w:val="1"/>
            <w:shd w:fill="DCE6F1" w:val="clear"/>
            <w:tcMar>
              <w:top w:type="dxa" w:w="60"/>
              <w:left w:type="dxa" w:w="100"/>
              <w:bottom w:type="dxa" w:w="60"/>
              <w:right w:type="dxa" w:w="100"/>
            </w:tcMar>
          </w:tcPr>
          <w:p>
            <w:pPr>
              <w:spacing w:after="0"/>
            </w:pPr>
            <w:r>
              <w:rPr>
                <w:b/>
                <w:bCs/>
                <w:sz w:val="19"/>
                <w:szCs w:val="19"/>
              </w:rPr>
              <w:t xml:space="preserve">Prohibido</w:t>
            </w:r>
          </w:p>
        </w:tc>
        <w:tc>
          <w:tcPr>
            <w:tcW w:type="dxa" w:w="4600"/>
            <w:gridSpan w:val="1"/>
            <w:shd w:fill="DCE6F1" w:val="clear"/>
            <w:tcMar>
              <w:top w:type="dxa" w:w="60"/>
              <w:left w:type="dxa" w:w="100"/>
              <w:bottom w:type="dxa" w:w="60"/>
              <w:right w:type="dxa" w:w="100"/>
            </w:tcMar>
          </w:tcPr>
          <w:p>
            <w:pPr>
              <w:spacing w:after="0"/>
            </w:pPr>
            <w:r>
              <w:rPr>
                <w:b/>
                <w:bCs/>
                <w:sz w:val="19"/>
                <w:szCs w:val="19"/>
              </w:rPr>
              <w:t xml:space="preserve">Correcto</w:t>
            </w:r>
          </w:p>
        </w:tc>
      </w:tr>
      <w:tr>
        <w:tc>
          <w:tcPr>
            <w:tcW w:type="dxa" w:w="4400"/>
            <w:tcMar>
              <w:top w:type="dxa" w:w="60"/>
              <w:left w:type="dxa" w:w="100"/>
              <w:bottom w:type="dxa" w:w="60"/>
              <w:right w:type="dxa" w:w="100"/>
            </w:tcMar>
          </w:tcPr>
          <w:p>
            <w:pPr>
              <w:spacing w:after="0"/>
            </w:pPr>
            <w:r>
              <w:rPr>
                <w:rFonts w:ascii="Consolas" w:cs="Consolas" w:eastAsia="Consolas" w:hAnsi="Consolas"/>
                <w:sz w:val="17"/>
                <w:szCs w:val="17"/>
              </w:rPr>
              <w:t xml:space="preserve">SP_CLIENTE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PKG_CLIENTE.SP_OBTENER_CLIENTE_POR_ID</w:t>
            </w:r>
          </w:p>
        </w:tc>
      </w:tr>
      <w:tr>
        <w:tc>
          <w:tcPr>
            <w:tcW w:type="dxa" w:w="4400"/>
            <w:tcMar>
              <w:top w:type="dxa" w:w="60"/>
              <w:left w:type="dxa" w:w="100"/>
              <w:bottom w:type="dxa" w:w="60"/>
              <w:right w:type="dxa" w:w="100"/>
            </w:tcMar>
          </w:tcPr>
          <w:p>
            <w:pPr>
              <w:spacing w:after="0"/>
            </w:pPr>
            <w:r>
              <w:rPr>
                <w:rFonts w:ascii="Consolas" w:cs="Consolas" w:eastAsia="Consolas" w:hAnsi="Consolas"/>
                <w:sz w:val="17"/>
                <w:szCs w:val="17"/>
              </w:rPr>
              <w:t xml:space="preserve">USP_GETCLI</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PKG_CLIENTE.SP_LISTAR_CLIENTES_POR_ESTADO</w:t>
            </w:r>
          </w:p>
        </w:tc>
      </w:tr>
      <w:tr>
        <w:tc>
          <w:tcPr>
            <w:tcW w:type="dxa" w:w="4400"/>
            <w:tcMar>
              <w:top w:type="dxa" w:w="60"/>
              <w:left w:type="dxa" w:w="100"/>
              <w:bottom w:type="dxa" w:w="60"/>
              <w:right w:type="dxa" w:w="100"/>
            </w:tcMar>
          </w:tcPr>
          <w:p>
            <w:pPr>
              <w:spacing w:after="0"/>
            </w:pPr>
            <w:r>
              <w:rPr>
                <w:rFonts w:ascii="Consolas" w:cs="Consolas" w:eastAsia="Consolas" w:hAnsi="Consolas"/>
                <w:sz w:val="17"/>
                <w:szCs w:val="17"/>
              </w:rPr>
              <w:t xml:space="preserve">SP_PED_INS</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PKG_PEDIDO.SP_REGISTRAR_PEDIDO</w:t>
            </w:r>
          </w:p>
        </w:tc>
      </w:tr>
      <w:tr>
        <w:tc>
          <w:tcPr>
            <w:tcW w:type="dxa" w:w="4400"/>
            <w:tcMar>
              <w:top w:type="dxa" w:w="60"/>
              <w:left w:type="dxa" w:w="100"/>
              <w:bottom w:type="dxa" w:w="60"/>
              <w:right w:type="dxa" w:w="100"/>
            </w:tcMar>
          </w:tcPr>
          <w:p>
            <w:pPr>
              <w:spacing w:after="0"/>
            </w:pPr>
            <w:r>
              <w:rPr>
                <w:rFonts w:ascii="Consolas" w:cs="Consolas" w:eastAsia="Consolas" w:hAnsi="Consolas"/>
                <w:sz w:val="17"/>
                <w:szCs w:val="17"/>
              </w:rPr>
              <w:t xml:space="preserve">SP_MANTENIMIENTO_CLIENTE</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SP_REGISTRAR_CLIENTE / SP_ACTUALIZAR_CLIENTE / SP_ANULAR_CLIENTE</w:t>
            </w:r>
          </w:p>
        </w:tc>
      </w:tr>
      <w:tr>
        <w:tc>
          <w:tcPr>
            <w:tcW w:type="dxa" w:w="4400"/>
            <w:tcMar>
              <w:top w:type="dxa" w:w="60"/>
              <w:left w:type="dxa" w:w="100"/>
              <w:bottom w:type="dxa" w:w="60"/>
              <w:right w:type="dxa" w:w="100"/>
            </w:tcMar>
          </w:tcPr>
          <w:p>
            <w:pPr>
              <w:spacing w:after="0"/>
            </w:pPr>
            <w:r>
              <w:rPr>
                <w:rFonts w:ascii="Consolas" w:cs="Consolas" w:eastAsia="Consolas" w:hAnsi="Consolas"/>
                <w:sz w:val="17"/>
                <w:szCs w:val="17"/>
              </w:rPr>
              <w:t xml:space="preserve">SP_REPORTE1</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PKG_VENTA.SP_LISTAR_VENTAS_POR_VENDEDOR_Y_PERIODO</w:t>
            </w:r>
          </w:p>
        </w:tc>
      </w:tr>
      <w:tr>
        <w:tc>
          <w:tcPr>
            <w:tcW w:type="dxa" w:w="4400"/>
            <w:tcMar>
              <w:top w:type="dxa" w:w="60"/>
              <w:left w:type="dxa" w:w="100"/>
              <w:bottom w:type="dxa" w:w="60"/>
              <w:right w:type="dxa" w:w="100"/>
            </w:tcMar>
          </w:tcPr>
          <w:p>
            <w:pPr>
              <w:spacing w:after="0"/>
            </w:pPr>
            <w:r>
              <w:rPr>
                <w:rFonts w:ascii="Consolas" w:cs="Consolas" w:eastAsia="Consolas" w:hAnsi="Consolas"/>
                <w:sz w:val="17"/>
                <w:szCs w:val="17"/>
              </w:rPr>
              <w:t xml:space="preserve">SP_PROC_CLIENTE_V2</w:t>
            </w:r>
          </w:p>
        </w:tc>
        <w:tc>
          <w:tcPr>
            <w:tcW w:type="dxa" w:w="4600"/>
            <w:tcMar>
              <w:top w:type="dxa" w:w="60"/>
              <w:left w:type="dxa" w:w="100"/>
              <w:bottom w:type="dxa" w:w="60"/>
              <w:right w:type="dxa" w:w="100"/>
            </w:tcMar>
          </w:tcPr>
          <w:p>
            <w:pPr>
              <w:spacing w:after="0"/>
            </w:pPr>
            <w:r>
              <w:rPr>
                <w:rFonts w:ascii="Consolas" w:cs="Consolas" w:eastAsia="Consolas" w:hAnsi="Consolas"/>
                <w:sz w:val="17"/>
                <w:szCs w:val="17"/>
              </w:rPr>
              <w:t xml:space="preserve">PKG_CLIENTE.SP_PROCESAR_MIGRACION_CLIENTE</w:t>
            </w:r>
          </w:p>
        </w:tc>
      </w:tr>
    </w:tbl>
    <w:p>
      <w:pPr>
        <w:spacing w:after="120"/>
      </w:pPr>
    </w:p>
    <w:p>
      <w:pPr>
        <w:pStyle w:val="ListParagraph"/>
        <w:numPr>
          <w:ilvl w:val="0"/>
          <w:numId w:val="2"/>
        </w:numPr>
        <w:spacing w:after="60" w:line="276"/>
      </w:pPr>
      <w:r>
        <w:rPr>
          <w:b/>
          <w:bCs/>
          <w:sz w:val="22"/>
          <w:szCs w:val="22"/>
        </w:rPr>
        <w:t xml:space="preserve">NO DEBE: </w:t>
      </w:r>
      <w:r>
        <w:rPr>
          <w:sz w:val="22"/>
          <w:szCs w:val="22"/>
        </w:rPr>
        <w:t xml:space="preserve">existir procedimientos "de mantenimiento" que insertan, actualizan y eliminan según un parámetro de acción. Un procedimiento, una responsabilidad.</w:t>
      </w:r>
    </w:p>
    <w:p>
      <w:pPr>
        <w:pStyle w:val="Heading2"/>
        <w:spacing w:after="120" w:before="260"/>
      </w:pPr>
      <w:r>
        <w:t xml:space="preserve">6.4 Parámetros</w:t>
      </w:r>
    </w:p>
    <w:p>
      <w:pPr>
        <w:pStyle w:val="ListParagraph"/>
        <w:numPr>
          <w:ilvl w:val="0"/>
          <w:numId w:val="2"/>
        </w:numPr>
        <w:spacing w:after="60" w:line="276"/>
      </w:pPr>
      <w:r>
        <w:rPr>
          <w:b/>
          <w:bCs/>
          <w:sz w:val="22"/>
          <w:szCs w:val="22"/>
        </w:rPr>
        <w:t xml:space="preserve">DEBE: </w:t>
      </w:r>
      <w:r>
        <w:rPr>
          <w:sz w:val="22"/>
          <w:szCs w:val="22"/>
        </w:rPr>
        <w:t xml:space="preserve">los parámetros de entrada llevar prefijo </w:t>
      </w:r>
      <w:r>
        <w:rPr>
          <w:rFonts w:ascii="Consolas" w:cs="Consolas" w:eastAsia="Consolas" w:hAnsi="Consolas"/>
          <w:sz w:val="20"/>
          <w:szCs w:val="20"/>
        </w:rPr>
        <w:t xml:space="preserve">P_</w:t>
      </w:r>
      <w:r>
        <w:rPr>
          <w:sz w:val="22"/>
          <w:szCs w:val="22"/>
        </w:rPr>
        <w:t xml:space="preserve"> y los de salida </w:t>
      </w:r>
      <w:r>
        <w:rPr>
          <w:rFonts w:ascii="Consolas" w:cs="Consolas" w:eastAsia="Consolas" w:hAnsi="Consolas"/>
          <w:sz w:val="20"/>
          <w:szCs w:val="20"/>
        </w:rPr>
        <w:t xml:space="preserve">O_</w:t>
      </w:r>
      <w:r>
        <w:rPr>
          <w:sz w:val="22"/>
          <w:szCs w:val="22"/>
        </w:rPr>
        <w:t xml:space="preserve">. Esto evita colisiones con nombres de columna en el cuerpo del SP.</w:t>
      </w:r>
    </w:p>
    <w:p>
      <w:pPr>
        <w:pStyle w:val="ListParagraph"/>
        <w:numPr>
          <w:ilvl w:val="0"/>
          <w:numId w:val="2"/>
        </w:numPr>
        <w:spacing w:after="60" w:line="276"/>
      </w:pPr>
      <w:r>
        <w:rPr>
          <w:b/>
          <w:bCs/>
          <w:sz w:val="22"/>
          <w:szCs w:val="22"/>
        </w:rPr>
        <w:t xml:space="preserve">DEBE: </w:t>
      </w:r>
      <w:r>
        <w:rPr>
          <w:sz w:val="22"/>
          <w:szCs w:val="22"/>
        </w:rPr>
        <w:t xml:space="preserve">los cursores de salida declararse como </w:t>
      </w:r>
      <w:r>
        <w:rPr>
          <w:rFonts w:ascii="Consolas" w:cs="Consolas" w:eastAsia="Consolas" w:hAnsi="Consolas"/>
          <w:sz w:val="20"/>
          <w:szCs w:val="20"/>
        </w:rPr>
        <w:t xml:space="preserve">SYS_REFCURSOR</w:t>
      </w:r>
      <w:r>
        <w:rPr>
          <w:sz w:val="22"/>
          <w:szCs w:val="22"/>
        </w:rPr>
        <w:t xml:space="preserve"> y llamarse </w:t>
      </w:r>
      <w:r>
        <w:rPr>
          <w:rFonts w:ascii="Consolas" w:cs="Consolas" w:eastAsia="Consolas" w:hAnsi="Consolas"/>
          <w:sz w:val="20"/>
          <w:szCs w:val="20"/>
        </w:rPr>
        <w:t xml:space="preserve">O_CURSOR</w:t>
      </w:r>
      <w:r>
        <w:rPr>
          <w:sz w:val="22"/>
          <w:szCs w:val="22"/>
        </w:rPr>
        <w:t xml:space="preserve"> o </w:t>
      </w:r>
      <w:r>
        <w:rPr>
          <w:rFonts w:ascii="Consolas" w:cs="Consolas" w:eastAsia="Consolas" w:hAnsi="Consolas"/>
          <w:sz w:val="20"/>
          <w:szCs w:val="20"/>
        </w:rPr>
        <w:t xml:space="preserve">O_&lt;ENTIDAD&gt;_CURSOR</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todo SP de escritura devolver </w:t>
      </w:r>
      <w:r>
        <w:rPr>
          <w:rFonts w:ascii="Consolas" w:cs="Consolas" w:eastAsia="Consolas" w:hAnsi="Consolas"/>
          <w:sz w:val="20"/>
          <w:szCs w:val="20"/>
        </w:rPr>
        <w:t xml:space="preserve">O_CODIGO_ERROR NUMBER</w:t>
      </w:r>
      <w:r>
        <w:rPr>
          <w:sz w:val="22"/>
          <w:szCs w:val="22"/>
        </w:rPr>
        <w:t xml:space="preserve"> y </w:t>
      </w:r>
      <w:r>
        <w:rPr>
          <w:rFonts w:ascii="Consolas" w:cs="Consolas" w:eastAsia="Consolas" w:hAnsi="Consolas"/>
          <w:sz w:val="20"/>
          <w:szCs w:val="20"/>
        </w:rPr>
        <w:t xml:space="preserve">O_MENSAJE_ERROR VARCHAR2</w:t>
      </w:r>
      <w:r>
        <w:rPr>
          <w:sz w:val="22"/>
          <w:szCs w:val="22"/>
        </w:rPr>
        <w:t xml:space="preserve"> para el manejo homogéneo de errores.</w:t>
      </w:r>
    </w:p>
    <w:p>
      <w:pPr>
        <w:pStyle w:val="ListParagraph"/>
        <w:numPr>
          <w:ilvl w:val="0"/>
          <w:numId w:val="2"/>
        </w:numPr>
        <w:spacing w:after="60" w:line="276"/>
      </w:pPr>
      <w:r>
        <w:rPr>
          <w:b/>
          <w:bCs/>
          <w:sz w:val="22"/>
          <w:szCs w:val="22"/>
        </w:rPr>
        <w:t xml:space="preserve">DEBE: </w:t>
      </w:r>
      <w:r>
        <w:rPr>
          <w:sz w:val="22"/>
          <w:szCs w:val="22"/>
        </w:rPr>
        <w:t xml:space="preserve">usarse </w:t>
      </w:r>
      <w:r>
        <w:rPr>
          <w:rFonts w:ascii="Consolas" w:cs="Consolas" w:eastAsia="Consolas" w:hAnsi="Consolas"/>
          <w:sz w:val="20"/>
          <w:szCs w:val="20"/>
        </w:rPr>
        <w:t xml:space="preserve">%TYPE</w:t>
      </w:r>
      <w:r>
        <w:rPr>
          <w:sz w:val="22"/>
          <w:szCs w:val="22"/>
        </w:rPr>
        <w:t xml:space="preserve"> y </w:t>
      </w:r>
      <w:r>
        <w:rPr>
          <w:rFonts w:ascii="Consolas" w:cs="Consolas" w:eastAsia="Consolas" w:hAnsi="Consolas"/>
          <w:sz w:val="20"/>
          <w:szCs w:val="20"/>
        </w:rPr>
        <w:t xml:space="preserve">%ROWTYPE</w:t>
      </w:r>
      <w:r>
        <w:rPr>
          <w:sz w:val="22"/>
          <w:szCs w:val="22"/>
        </w:rPr>
        <w:t xml:space="preserve"> para anclar tipos a las columnas reales.</w:t>
      </w:r>
    </w:p>
    <w:p>
      <w:pPr>
        <w:pStyle w:val="ListParagraph"/>
        <w:numPr>
          <w:ilvl w:val="0"/>
          <w:numId w:val="2"/>
        </w:numPr>
        <w:spacing w:after="60" w:line="276"/>
      </w:pPr>
      <w:r>
        <w:rPr>
          <w:b/>
          <w:bCs/>
          <w:sz w:val="22"/>
          <w:szCs w:val="22"/>
        </w:rPr>
        <w:t xml:space="preserve">NO DEBE: </w:t>
      </w:r>
      <w:r>
        <w:rPr>
          <w:sz w:val="22"/>
          <w:szCs w:val="22"/>
        </w:rPr>
        <w:t xml:space="preserve">concatenarse SQL dinámico con valores de parámetros. Si es inevitable, usar </w:t>
      </w:r>
      <w:r>
        <w:rPr>
          <w:rFonts w:ascii="Consolas" w:cs="Consolas" w:eastAsia="Consolas" w:hAnsi="Consolas"/>
          <w:sz w:val="20"/>
          <w:szCs w:val="20"/>
        </w:rPr>
        <w:t xml:space="preserve">DBMS_ASSERT</w:t>
      </w:r>
      <w:r>
        <w:rPr>
          <w:sz w:val="22"/>
          <w:szCs w:val="22"/>
        </w:rPr>
        <w:t xml:space="preserve"> y bind variables.</w:t>
      </w:r>
    </w:p>
    <w:p>
      <w:pPr>
        <w:pStyle w:val="Heading2"/>
        <w:spacing w:after="120" w:before="260"/>
      </w:pPr>
      <w:r>
        <w:t xml:space="preserve">6.5 Plantilla de referencia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CREATE OR REPLACE PACKAGE PKG_CLIENTE 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PROCEDURE SP_OBTENER_CLIENTE_POR_ID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P_CLIENTE_ID      IN  CLIENTE.CLIENTE_ID%TYPE,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O_CURSOR          OUT SYS_REFCURSOR,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OUT NUMBER,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OUT VARCHAR2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PROCEDURE SP_LISTAR_CLIENTES_POR_ESTADO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P_ESTADO_REGISTRO IN  CLIENTE.ESTADO_REGISTRO%TYPE,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P_PAGINA          IN  NUMBER  DEFAULT 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P_TAMANIO_PAGINA  IN  NUMBER  DEFAULT 20,</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O_CURSOR          OUT SYS_REFCURSOR,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O_TOTAL_REGISTROS OUT NUMBER,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OUT NUMBER,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OUT VARCHAR2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PROCEDURE SP_REGISTRAR_CLIENTE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P_RAZON_SOCIAL    IN  CLIENTE.RAZON_SOCIAL%TYPE,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P_RUC             IN  CLIENTE.RUC%TYPE,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P_USUARIO         IN  CLIENTE.USUARIO_CREACION%TYPE,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O_CLIENTE_ID      OUT CLIENTE.CLIENTE_ID%TYPE,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OUT NUMBER,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OUT VARCHAR2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END PKG_CLIENTE;</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CREATE OR REPLACE PACKAGE BODY PKG_CLIENTE AS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PROCEDURE SP_REGISTRAR_CLIENTE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P_RAZON_SOCIAL    IN  CLIENTE.RAZON_SOCIAL%TYPE,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P_RUC             IN  CLIENTE.RUC%TYPE,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P_USUARIO         IN  CLIENTE.USUARIO_CREACION%TYPE,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O_CLIENTE_ID      OUT CLIENTE.CLIENTE_ID%TYPE,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OUT NUMBER,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OUT VARCHAR2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IS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V_EXISTE_RUC NUMBER(1);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BEGIN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 0;</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SELECT COUNT(1) INTO V_EXISTE_RUC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FROM 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WHERE RUC = P_RUC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AND ROWNUM = 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IF V_EXISTE_RUC &gt; 0 THEN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 1001;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 'El RUC ya se encuentra registrado';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RETURN;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END IF;</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INSERT INTO CLIENTE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CLIENTE_ID, RAZON_SOCIAL, RUC, USUARIO_CREACION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VALUES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SEQ_CLIENTE.NEXTVAL, P_RAZON_SOCIAL, P_RUC, P_USUARIO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RETURNING CLIENTE_ID INTO O_CLIENTE_ID;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EXCEPTION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WHEN OTHERS THEN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O_CODIGO_ERROR  := SQLCODE;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O_MENSAJE_ERROR := SUBSTR(SQLERRM, 1, 500);</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END SP_REGISTRAR_CLIENTE;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END PKG_CLIENTE;</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ListParagraph"/>
        <w:numPr>
          <w:ilvl w:val="0"/>
          <w:numId w:val="2"/>
        </w:numPr>
        <w:spacing w:after="60" w:line="276"/>
      </w:pPr>
      <w:r>
        <w:rPr>
          <w:b/>
          <w:bCs/>
          <w:sz w:val="22"/>
          <w:szCs w:val="22"/>
        </w:rPr>
        <w:t xml:space="preserve">DEBE: </w:t>
      </w:r>
      <w:r>
        <w:rPr>
          <w:sz w:val="22"/>
          <w:szCs w:val="22"/>
        </w:rPr>
        <w:t xml:space="preserve">el COMMIT y el ROLLBACK controlarse desde la aplicación (transacción de EF Core), no dentro del SP, salvo en procesos batch autónomos.</w:t>
      </w:r>
    </w:p>
    <w:p>
      <w:pPr>
        <w:pStyle w:val="ListParagraph"/>
        <w:numPr>
          <w:ilvl w:val="0"/>
          <w:numId w:val="2"/>
        </w:numPr>
        <w:spacing w:after="60" w:line="276"/>
      </w:pPr>
      <w:r>
        <w:rPr>
          <w:b/>
          <w:bCs/>
          <w:sz w:val="22"/>
          <w:szCs w:val="22"/>
        </w:rPr>
        <w:t xml:space="preserve">DEBE: </w:t>
      </w:r>
      <w:r>
        <w:rPr>
          <w:sz w:val="22"/>
          <w:szCs w:val="22"/>
        </w:rPr>
        <w:t xml:space="preserve">sangrarse el SQL alineando las palabras clave a la derecha, como en el ejemplo (SELECT / FROM / WHERE / AND).</w:t>
      </w:r>
    </w:p>
    <w:p>
      <w:r>
        <w:br w:type="page"/>
      </w:r>
    </w:p>
    <w:p>
      <w:pPr>
        <w:pStyle w:val="Heading1"/>
        <w:spacing w:after="160" w:before="360"/>
      </w:pPr>
      <w:r>
        <w:t xml:space="preserve">7. EF Core con Oracle</w:t>
      </w:r>
    </w:p>
    <w:p>
      <w:pPr>
        <w:pStyle w:val="Heading2"/>
        <w:spacing w:after="120" w:before="260"/>
      </w:pPr>
      <w:r>
        <w:t xml:space="preserve">7.1 Cuándo usar EF Core y cuándo un stored procedure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4500"/>
        <w:gridCol w:w="4500"/>
      </w:tblGrid>
      <w:tr>
        <w:tc>
          <w:tcPr>
            <w:tcW w:type="dxa" w:w="4500"/>
            <w:gridSpan w:val="1"/>
            <w:shd w:fill="DCE6F1" w:val="clear"/>
            <w:tcMar>
              <w:top w:type="dxa" w:w="60"/>
              <w:left w:type="dxa" w:w="100"/>
              <w:bottom w:type="dxa" w:w="60"/>
              <w:right w:type="dxa" w:w="100"/>
            </w:tcMar>
          </w:tcPr>
          <w:p>
            <w:pPr>
              <w:spacing w:after="0"/>
            </w:pPr>
            <w:r>
              <w:rPr>
                <w:b/>
                <w:bCs/>
                <w:sz w:val="19"/>
                <w:szCs w:val="19"/>
              </w:rPr>
              <w:t xml:space="preserve">Usar EF Core</w:t>
            </w:r>
          </w:p>
        </w:tc>
        <w:tc>
          <w:tcPr>
            <w:tcW w:type="dxa" w:w="4500"/>
            <w:gridSpan w:val="1"/>
            <w:shd w:fill="DCE6F1" w:val="clear"/>
            <w:tcMar>
              <w:top w:type="dxa" w:w="60"/>
              <w:left w:type="dxa" w:w="100"/>
              <w:bottom w:type="dxa" w:w="60"/>
              <w:right w:type="dxa" w:w="100"/>
            </w:tcMar>
          </w:tcPr>
          <w:p>
            <w:pPr>
              <w:spacing w:after="0"/>
            </w:pPr>
            <w:r>
              <w:rPr>
                <w:b/>
                <w:bCs/>
                <w:sz w:val="19"/>
                <w:szCs w:val="19"/>
              </w:rPr>
              <w:t xml:space="preserve">Usar stored procedure</w:t>
            </w:r>
          </w:p>
        </w:tc>
      </w:tr>
      <w:tr>
        <w:tc>
          <w:tcPr>
            <w:tcW w:type="dxa" w:w="4500"/>
            <w:gridSpan w:val="1"/>
            <w:tcMar>
              <w:top w:type="dxa" w:w="60"/>
              <w:left w:type="dxa" w:w="100"/>
              <w:bottom w:type="dxa" w:w="60"/>
              <w:right w:type="dxa" w:w="100"/>
            </w:tcMar>
          </w:tcPr>
          <w:p>
            <w:pPr>
              <w:spacing w:after="0"/>
            </w:pPr>
            <w:r>
              <w:rPr>
                <w:b w:val="false"/>
                <w:bCs w:val="false"/>
                <w:sz w:val="19"/>
                <w:szCs w:val="19"/>
              </w:rPr>
              <w:t xml:space="preserve">CRUD sobre agregados con reglas de negocio en el dominio</w:t>
            </w:r>
          </w:p>
        </w:tc>
        <w:tc>
          <w:tcPr>
            <w:tcW w:type="dxa" w:w="4500"/>
            <w:gridSpan w:val="1"/>
            <w:tcMar>
              <w:top w:type="dxa" w:w="60"/>
              <w:left w:type="dxa" w:w="100"/>
              <w:bottom w:type="dxa" w:w="60"/>
              <w:right w:type="dxa" w:w="100"/>
            </w:tcMar>
          </w:tcPr>
          <w:p>
            <w:pPr>
              <w:spacing w:after="0"/>
            </w:pPr>
            <w:r>
              <w:rPr>
                <w:b w:val="false"/>
                <w:bCs w:val="false"/>
                <w:sz w:val="19"/>
                <w:szCs w:val="19"/>
              </w:rPr>
              <w:t xml:space="preserve">Procesos batch o de cierre con alto volumen</w:t>
            </w:r>
          </w:p>
        </w:tc>
      </w:tr>
      <w:tr>
        <w:tc>
          <w:tcPr>
            <w:tcW w:type="dxa" w:w="4500"/>
            <w:gridSpan w:val="1"/>
            <w:tcMar>
              <w:top w:type="dxa" w:w="60"/>
              <w:left w:type="dxa" w:w="100"/>
              <w:bottom w:type="dxa" w:w="60"/>
              <w:right w:type="dxa" w:w="100"/>
            </w:tcMar>
          </w:tcPr>
          <w:p>
            <w:pPr>
              <w:spacing w:after="0"/>
            </w:pPr>
            <w:r>
              <w:rPr>
                <w:b w:val="false"/>
                <w:bCs w:val="false"/>
                <w:sz w:val="19"/>
                <w:szCs w:val="19"/>
              </w:rPr>
              <w:t xml:space="preserve">Consultas simples y medianas con filtros dinámicos</w:t>
            </w:r>
          </w:p>
        </w:tc>
        <w:tc>
          <w:tcPr>
            <w:tcW w:type="dxa" w:w="4500"/>
            <w:gridSpan w:val="1"/>
            <w:tcMar>
              <w:top w:type="dxa" w:w="60"/>
              <w:left w:type="dxa" w:w="100"/>
              <w:bottom w:type="dxa" w:w="60"/>
              <w:right w:type="dxa" w:w="100"/>
            </w:tcMar>
          </w:tcPr>
          <w:p>
            <w:pPr>
              <w:spacing w:after="0"/>
            </w:pPr>
            <w:r>
              <w:rPr>
                <w:b w:val="false"/>
                <w:bCs w:val="false"/>
                <w:sz w:val="19"/>
                <w:szCs w:val="19"/>
              </w:rPr>
              <w:t xml:space="preserve">Consultas con lógica analítica compleja (window functions, CONNECT BY, MERGE)</w:t>
            </w:r>
          </w:p>
        </w:tc>
      </w:tr>
      <w:tr>
        <w:tc>
          <w:tcPr>
            <w:tcW w:type="dxa" w:w="4500"/>
            <w:gridSpan w:val="1"/>
            <w:tcMar>
              <w:top w:type="dxa" w:w="60"/>
              <w:left w:type="dxa" w:w="100"/>
              <w:bottom w:type="dxa" w:w="60"/>
              <w:right w:type="dxa" w:w="100"/>
            </w:tcMar>
          </w:tcPr>
          <w:p>
            <w:pPr>
              <w:spacing w:after="0"/>
            </w:pPr>
            <w:r>
              <w:rPr>
                <w:b w:val="false"/>
                <w:bCs w:val="false"/>
                <w:sz w:val="19"/>
                <w:szCs w:val="19"/>
              </w:rPr>
              <w:t xml:space="preserve">Operaciones que participan en el Unit of Work del caso de uso</w:t>
            </w:r>
          </w:p>
        </w:tc>
        <w:tc>
          <w:tcPr>
            <w:tcW w:type="dxa" w:w="4500"/>
            <w:gridSpan w:val="1"/>
            <w:tcMar>
              <w:top w:type="dxa" w:w="60"/>
              <w:left w:type="dxa" w:w="100"/>
              <w:bottom w:type="dxa" w:w="60"/>
              <w:right w:type="dxa" w:w="100"/>
            </w:tcMar>
          </w:tcPr>
          <w:p>
            <w:pPr>
              <w:spacing w:after="0"/>
            </w:pPr>
            <w:r>
              <w:rPr>
                <w:b w:val="false"/>
                <w:bCs w:val="false"/>
                <w:sz w:val="19"/>
                <w:szCs w:val="19"/>
              </w:rPr>
              <w:t xml:space="preserve">Reportes que agregan millones de filas</w:t>
            </w:r>
          </w:p>
        </w:tc>
      </w:tr>
      <w:tr>
        <w:tc>
          <w:tcPr>
            <w:tcW w:type="dxa" w:w="4500"/>
            <w:gridSpan w:val="1"/>
            <w:tcMar>
              <w:top w:type="dxa" w:w="60"/>
              <w:left w:type="dxa" w:w="100"/>
              <w:bottom w:type="dxa" w:w="60"/>
              <w:right w:type="dxa" w:w="100"/>
            </w:tcMar>
          </w:tcPr>
          <w:p>
            <w:pPr>
              <w:spacing w:after="0"/>
            </w:pPr>
            <w:r>
              <w:rPr>
                <w:b w:val="false"/>
                <w:bCs w:val="false"/>
                <w:sz w:val="19"/>
                <w:szCs w:val="19"/>
              </w:rPr>
              <w:t xml:space="preserve">Todo lo que deba mantenerse tipado y refactorizable</w:t>
            </w:r>
          </w:p>
        </w:tc>
        <w:tc>
          <w:tcPr>
            <w:tcW w:type="dxa" w:w="4500"/>
            <w:gridSpan w:val="1"/>
            <w:tcMar>
              <w:top w:type="dxa" w:w="60"/>
              <w:left w:type="dxa" w:w="100"/>
              <w:bottom w:type="dxa" w:w="60"/>
              <w:right w:type="dxa" w:w="100"/>
            </w:tcMar>
          </w:tcPr>
          <w:p>
            <w:pPr>
              <w:spacing w:after="0"/>
            </w:pPr>
            <w:r>
              <w:rPr>
                <w:b w:val="false"/>
                <w:bCs w:val="false"/>
                <w:sz w:val="19"/>
                <w:szCs w:val="19"/>
              </w:rPr>
              <w:t xml:space="preserve">Lógica preexistente del legado que no se va a migrar</w:t>
            </w:r>
          </w:p>
        </w:tc>
      </w:tr>
    </w:tbl>
    <w:p>
      <w:pPr>
        <w:spacing w:after="120"/>
      </w:pPr>
    </w:p>
    <w:p>
      <w:pPr>
        <w:pStyle w:val="ListParagraph"/>
        <w:numPr>
          <w:ilvl w:val="0"/>
          <w:numId w:val="2"/>
        </w:numPr>
        <w:spacing w:after="60" w:line="276"/>
      </w:pPr>
      <w:r>
        <w:rPr>
          <w:b/>
          <w:bCs/>
          <w:sz w:val="22"/>
          <w:szCs w:val="22"/>
        </w:rPr>
        <w:t xml:space="preserve">DEBE: </w:t>
      </w:r>
      <w:r>
        <w:rPr>
          <w:sz w:val="22"/>
          <w:szCs w:val="22"/>
        </w:rPr>
        <w:t xml:space="preserve">justificarse en el PR toda incorporación de un nuevo stored procedure. El default es EF Core.</w:t>
      </w:r>
    </w:p>
    <w:p>
      <w:pPr>
        <w:pStyle w:val="ListParagraph"/>
        <w:numPr>
          <w:ilvl w:val="0"/>
          <w:numId w:val="2"/>
        </w:numPr>
        <w:spacing w:after="60" w:line="276"/>
      </w:pPr>
      <w:r>
        <w:rPr>
          <w:b/>
          <w:bCs/>
          <w:sz w:val="22"/>
          <w:szCs w:val="22"/>
        </w:rPr>
        <w:t xml:space="preserve">NO DEBE: </w:t>
      </w:r>
      <w:r>
        <w:rPr>
          <w:sz w:val="22"/>
          <w:szCs w:val="22"/>
        </w:rPr>
        <w:t xml:space="preserve">duplicarse la misma regla de negocio en C# y en PL/SQL.</w:t>
      </w:r>
    </w:p>
    <w:p>
      <w:pPr>
        <w:pStyle w:val="Heading2"/>
        <w:spacing w:after="120" w:before="260"/>
      </w:pPr>
      <w:r>
        <w:t xml:space="preserve">7.2 Configuración del DbContext</w:t>
      </w:r>
    </w:p>
    <w:p>
      <w:pPr>
        <w:pStyle w:val="ListParagraph"/>
        <w:numPr>
          <w:ilvl w:val="0"/>
          <w:numId w:val="2"/>
        </w:numPr>
        <w:spacing w:after="60" w:line="276"/>
      </w:pPr>
      <w:r>
        <w:rPr>
          <w:b/>
          <w:bCs/>
          <w:sz w:val="22"/>
          <w:szCs w:val="22"/>
        </w:rPr>
        <w:t xml:space="preserve">DEBE: </w:t>
      </w:r>
      <w:r>
        <w:rPr>
          <w:sz w:val="22"/>
          <w:szCs w:val="22"/>
        </w:rPr>
        <w:t xml:space="preserve">el mapeo hacerse con </w:t>
      </w:r>
      <w:r>
        <w:rPr>
          <w:rFonts w:ascii="Consolas" w:cs="Consolas" w:eastAsia="Consolas" w:hAnsi="Consolas"/>
          <w:sz w:val="20"/>
          <w:szCs w:val="20"/>
        </w:rPr>
        <w:t xml:space="preserve">IEntityTypeConfiguration&lt;T&gt;</w:t>
      </w:r>
      <w:r>
        <w:rPr>
          <w:sz w:val="22"/>
          <w:szCs w:val="22"/>
        </w:rPr>
        <w:t xml:space="preserve"> en archivos separados. Prohibidos los Data Annotations en las entidades de dominio.</w:t>
      </w:r>
    </w:p>
    <w:p>
      <w:pPr>
        <w:pStyle w:val="ListParagraph"/>
        <w:numPr>
          <w:ilvl w:val="0"/>
          <w:numId w:val="2"/>
        </w:numPr>
        <w:spacing w:after="60" w:line="276"/>
      </w:pPr>
      <w:r>
        <w:rPr>
          <w:b/>
          <w:bCs/>
          <w:sz w:val="22"/>
          <w:szCs w:val="22"/>
        </w:rPr>
        <w:t xml:space="preserve">DEBE: </w:t>
      </w:r>
      <w:r>
        <w:rPr>
          <w:sz w:val="22"/>
          <w:szCs w:val="22"/>
        </w:rPr>
        <w:t xml:space="preserve">las consultas de solo lectura usar </w:t>
      </w:r>
      <w:r>
        <w:rPr>
          <w:rFonts w:ascii="Consolas" w:cs="Consolas" w:eastAsia="Consolas" w:hAnsi="Consolas"/>
          <w:sz w:val="20"/>
          <w:szCs w:val="20"/>
        </w:rPr>
        <w:t xml:space="preserve">AsNoTracking()</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proyectarse a DTO con </w:t>
      </w:r>
      <w:r>
        <w:rPr>
          <w:rFonts w:ascii="Consolas" w:cs="Consolas" w:eastAsia="Consolas" w:hAnsi="Consolas"/>
          <w:sz w:val="20"/>
          <w:szCs w:val="20"/>
        </w:rPr>
        <w:t xml:space="preserve">Select()</w:t>
      </w:r>
      <w:r>
        <w:rPr>
          <w:sz w:val="22"/>
          <w:szCs w:val="22"/>
        </w:rPr>
        <w:t xml:space="preserve"> en las queries; nunca traer la entidad completa para descartar campos.</w:t>
      </w:r>
    </w:p>
    <w:p>
      <w:pPr>
        <w:pStyle w:val="ListParagraph"/>
        <w:numPr>
          <w:ilvl w:val="0"/>
          <w:numId w:val="2"/>
        </w:numPr>
        <w:spacing w:after="60" w:line="276"/>
      </w:pPr>
      <w:r>
        <w:rPr>
          <w:b/>
          <w:bCs/>
          <w:sz w:val="22"/>
          <w:szCs w:val="22"/>
        </w:rPr>
        <w:t xml:space="preserve">NO DEBE: </w:t>
      </w:r>
      <w:r>
        <w:rPr>
          <w:sz w:val="22"/>
          <w:szCs w:val="22"/>
        </w:rPr>
        <w:t xml:space="preserve">usarse lazy loading. Las relaciones se cargan explícitamente con </w:t>
      </w:r>
      <w:r>
        <w:rPr>
          <w:rFonts w:ascii="Consolas" w:cs="Consolas" w:eastAsia="Consolas" w:hAnsi="Consolas"/>
          <w:sz w:val="20"/>
          <w:szCs w:val="20"/>
        </w:rPr>
        <w:t xml:space="preserve">Include()</w:t>
      </w:r>
      <w:r>
        <w:rPr>
          <w:sz w:val="22"/>
          <w:szCs w:val="22"/>
        </w:rPr>
        <w:t xml:space="preserve"> o proyección.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sealed class ClienteConfiguration : IEntityTypeConfiguration&lt;Cliente&gt;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public void Configure(EntityTypeBuilder&lt;Cliente&gt; builder)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builder.ToTable("CLIENTE");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builder.HasKey(c =&gt; c.Id)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.HasName("PK_CLIENTE");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builder.Property(c =&gt; c.Id)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.HasColumnName("CLIENTE_ID")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.HasColumnType("NUMBER(19)")</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.ValueGeneratedOnAdd()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.UseSequence("SEQ_CLIENTE");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builder.Property(c =&gt; c.RazonSocial)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.HasColumnName("RAZON_SOCIAL")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.HasColumnType("VARCHAR2(200 CHAR)")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.IsRequired();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builder.Property(c =&gt; c.LimiteCredito)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.HasColumnName("LIMITE_CREDITO")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.HasColumnType("NUMBER(18,2)");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builder.Property(c =&gt; c.EsAgenteRetencion)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.HasColumnName("ES_AGENTE_RETENCION")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.HasConversion&lt;int&gt;();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builder.HasIndex(c =&gt; c.Ruc)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.IsUnique()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.HasDatabaseName("UQ_CLIENTE_RUC");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builder.HasQueryFilter(c =&gt; c.EstadoRegistro == 1);</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Heading2"/>
        <w:spacing w:after="120" w:before="260"/>
      </w:pPr>
      <w:r>
        <w:t xml:space="preserve">7.3 Invocación de stored procedures</w:t>
      </w:r>
    </w:p>
    <w:p>
      <w:pPr>
        <w:spacing w:after="120" w:line="276"/>
        <w:jc w:val="both"/>
      </w:pPr>
      <w:r>
        <w:rPr>
          <w:sz w:val="22"/>
          <w:szCs w:val="22"/>
        </w:rPr>
        <w:t xml:space="preserve">Las llamadas a SPs se encapsulan en clases dedicadas dentro de Infrastructure. La capa Application solo ve una interfaz con métodos de negocio.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Application/Abstractions/Persistence/IClienteStoredProcedures.cs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interface IClienteStoredProcedures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Task&lt;PagedResult&lt;ClienteResumenDto&gt;&gt; ListarClientesPorEstadoAsync(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int estadoRegistro, int pagina, int tamanioPagina,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CancellationToken 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Infrastructure/Persistence/StoredProcedures/ClienteStoredProcedures.cs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sealed class ClienteStoredProcedures : IClienteStoredProcedures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const string ListarPorEstado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"PKG_CLIENTE.SP_LISTAR_CLIENTES_POR_ESTADO";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readonly ApplicationDbContext _context;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public ClienteStoredProcedures(ApplicationDbContext context)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=&gt; _context = context;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public async Task&lt;PagedResult&lt;ClienteResumenDto&gt;&gt; ListarClientesPorEstadoAsync(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int estadoRegistro, int pagina, int tamanioPagina,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CancellationToken 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await using var connection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(OracleConnection)_context.Database.GetDbConnection();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await using var command = connection.CreateCommand();</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command.CommandText = ListarPorEstado;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command.CommandType  = CommandType.StoredProcedure;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command.Parameters.Add("P_ESTADO_REGISTRO", OracleDbType.Int32)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.Value = estadoRegistro;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command.Parameters.Add("P_PAGINA", OracleDbType.Int32)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.Value = pagina;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command.Parameters.Add("P_TAMANIO_PAGINA", OracleDbType.Int32)</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.Value = tamanioPagina;</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var cursor = command.Parameters.Add("O_CURSOR", OracleDbType.RefCursor);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cursor.Direction = ParameterDirection.Output;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 O_TOTAL_REGISTROS, O_CODIGO_ERROR, O_MENSAJE_ERROR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await connection.OpenAsync(cancellationToken);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await command.ExecuteNonQueryAsync(cancellationToken);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Mapear el cursor a ClienteResumenDto y validar O_CODIGO_ERROR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ListParagraph"/>
        <w:numPr>
          <w:ilvl w:val="0"/>
          <w:numId w:val="2"/>
        </w:numPr>
        <w:spacing w:after="60" w:line="276"/>
      </w:pPr>
      <w:r>
        <w:rPr>
          <w:b/>
          <w:bCs/>
          <w:sz w:val="22"/>
          <w:szCs w:val="22"/>
        </w:rPr>
        <w:t xml:space="preserve">DEBE: </w:t>
      </w:r>
      <w:r>
        <w:rPr>
          <w:sz w:val="22"/>
          <w:szCs w:val="22"/>
        </w:rPr>
        <w:t xml:space="preserve">los nombres de SP declararse como constantes, nunca escribirse en línea repetidamente.</w:t>
      </w:r>
    </w:p>
    <w:p>
      <w:pPr>
        <w:pStyle w:val="ListParagraph"/>
        <w:numPr>
          <w:ilvl w:val="0"/>
          <w:numId w:val="2"/>
        </w:numPr>
        <w:spacing w:after="60" w:line="276"/>
      </w:pPr>
      <w:r>
        <w:rPr>
          <w:b/>
          <w:bCs/>
          <w:sz w:val="22"/>
          <w:szCs w:val="22"/>
        </w:rPr>
        <w:t xml:space="preserve">DEBE: </w:t>
      </w:r>
      <w:r>
        <w:rPr>
          <w:sz w:val="22"/>
          <w:szCs w:val="22"/>
        </w:rPr>
        <w:t xml:space="preserve">validarse siempre </w:t>
      </w:r>
      <w:r>
        <w:rPr>
          <w:rFonts w:ascii="Consolas" w:cs="Consolas" w:eastAsia="Consolas" w:hAnsi="Consolas"/>
          <w:sz w:val="20"/>
          <w:szCs w:val="20"/>
        </w:rPr>
        <w:t xml:space="preserve">O_CODIGO_ERROR</w:t>
      </w:r>
      <w:r>
        <w:rPr>
          <w:sz w:val="22"/>
          <w:szCs w:val="22"/>
        </w:rPr>
        <w:t xml:space="preserve"> y traducirlo a un </w:t>
      </w:r>
      <w:r>
        <w:rPr>
          <w:rFonts w:ascii="Consolas" w:cs="Consolas" w:eastAsia="Consolas" w:hAnsi="Consolas"/>
          <w:sz w:val="20"/>
          <w:szCs w:val="20"/>
        </w:rPr>
        <w:t xml:space="preserve">Result.Failure</w:t>
      </w:r>
      <w:r>
        <w:rPr>
          <w:sz w:val="22"/>
          <w:szCs w:val="22"/>
        </w:rPr>
        <w:t xml:space="preserve"> con un error de dominio.</w:t>
      </w:r>
    </w:p>
    <w:p>
      <w:pPr>
        <w:pStyle w:val="ListParagraph"/>
        <w:numPr>
          <w:ilvl w:val="0"/>
          <w:numId w:val="2"/>
        </w:numPr>
        <w:spacing w:after="60" w:line="276"/>
      </w:pPr>
      <w:r>
        <w:rPr>
          <w:b/>
          <w:bCs/>
          <w:sz w:val="22"/>
          <w:szCs w:val="22"/>
        </w:rPr>
        <w:t xml:space="preserve">NO DEBE: </w:t>
      </w:r>
      <w:r>
        <w:rPr>
          <w:sz w:val="22"/>
          <w:szCs w:val="22"/>
        </w:rPr>
        <w:t xml:space="preserve">usarse </w:t>
      </w:r>
      <w:r>
        <w:rPr>
          <w:rFonts w:ascii="Consolas" w:cs="Consolas" w:eastAsia="Consolas" w:hAnsi="Consolas"/>
          <w:sz w:val="20"/>
          <w:szCs w:val="20"/>
        </w:rPr>
        <w:t xml:space="preserve">FromSqlRaw</w:t>
      </w:r>
      <w:r>
        <w:rPr>
          <w:sz w:val="22"/>
          <w:szCs w:val="22"/>
        </w:rPr>
        <w:t xml:space="preserve"> con interpolación de cadenas. Siempre parámetros enlazados.</w:t>
      </w:r>
    </w:p>
    <w:p>
      <w:pPr>
        <w:pStyle w:val="Heading2"/>
        <w:spacing w:after="120" w:before="260"/>
      </w:pPr>
      <w:r>
        <w:t xml:space="preserve">7.4 Versionado de la base de datos</w:t>
      </w:r>
    </w:p>
    <w:p>
      <w:pPr>
        <w:pStyle w:val="ListParagraph"/>
        <w:numPr>
          <w:ilvl w:val="0"/>
          <w:numId w:val="2"/>
        </w:numPr>
        <w:spacing w:after="60" w:line="276"/>
      </w:pPr>
      <w:r>
        <w:rPr>
          <w:b/>
          <w:bCs/>
          <w:sz w:val="22"/>
          <w:szCs w:val="22"/>
        </w:rPr>
        <w:t xml:space="preserve">DEBE: </w:t>
      </w:r>
      <w:r>
        <w:rPr>
          <w:sz w:val="22"/>
          <w:szCs w:val="22"/>
        </w:rPr>
        <w:t xml:space="preserve">todo cambio de esquema versionarse en el repositorio como script SQL idempotente, con nomenclatura </w:t>
      </w:r>
      <w:r>
        <w:rPr>
          <w:rFonts w:ascii="Consolas" w:cs="Consolas" w:eastAsia="Consolas" w:hAnsi="Consolas"/>
          <w:sz w:val="20"/>
          <w:szCs w:val="20"/>
        </w:rPr>
        <w:t xml:space="preserve">V&lt;numero&gt;__&lt;descripcion&gt;.sql</w:t>
      </w:r>
      <w:r>
        <w:rPr>
          <w:sz w:val="22"/>
          <w:szCs w:val="22"/>
        </w:rPr>
        <w:t xml:space="preserve"> (por ejemplo </w:t>
      </w:r>
      <w:r>
        <w:rPr>
          <w:rFonts w:ascii="Consolas" w:cs="Consolas" w:eastAsia="Consolas" w:hAnsi="Consolas"/>
          <w:sz w:val="20"/>
          <w:szCs w:val="20"/>
        </w:rPr>
        <w:t xml:space="preserve">V012__agregar_limite_credito_cliente.sql</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los paquetes PL/SQL versionarse como archivos </w:t>
      </w:r>
      <w:r>
        <w:rPr>
          <w:rFonts w:ascii="Consolas" w:cs="Consolas" w:eastAsia="Consolas" w:hAnsi="Consolas"/>
          <w:sz w:val="20"/>
          <w:szCs w:val="20"/>
        </w:rPr>
        <w:t xml:space="preserve">CREATE OR REPLACE</w:t>
      </w:r>
      <w:r>
        <w:rPr>
          <w:sz w:val="22"/>
          <w:szCs w:val="22"/>
        </w:rPr>
        <w:t xml:space="preserve"> completos, en carpeta </w:t>
      </w:r>
      <w:r>
        <w:rPr>
          <w:rFonts w:ascii="Consolas" w:cs="Consolas" w:eastAsia="Consolas" w:hAnsi="Consolas"/>
          <w:sz w:val="20"/>
          <w:szCs w:val="20"/>
        </w:rPr>
        <w:t xml:space="preserve">db/packages/</w:t>
      </w:r>
      <w:r>
        <w:rPr>
          <w:sz w:val="22"/>
          <w:szCs w:val="22"/>
        </w:rPr>
        <w:t xml:space="preserve">, para poder ver el diff.</w:t>
      </w:r>
    </w:p>
    <w:p>
      <w:pPr>
        <w:pStyle w:val="ListParagraph"/>
        <w:numPr>
          <w:ilvl w:val="0"/>
          <w:numId w:val="2"/>
        </w:numPr>
        <w:spacing w:after="60" w:line="276"/>
      </w:pPr>
      <w:r>
        <w:rPr>
          <w:b/>
          <w:bCs/>
          <w:sz w:val="22"/>
          <w:szCs w:val="22"/>
        </w:rPr>
        <w:t xml:space="preserve">NO DEBE: </w:t>
      </w:r>
      <w:r>
        <w:rPr>
          <w:sz w:val="22"/>
          <w:szCs w:val="22"/>
        </w:rPr>
        <w:t xml:space="preserve">aplicarse cambios de esquema directamente en ningún ambiente sin script versionado.</w:t>
      </w:r>
    </w:p>
    <w:p>
      <w:pPr>
        <w:pStyle w:val="ListParagraph"/>
        <w:numPr>
          <w:ilvl w:val="0"/>
          <w:numId w:val="2"/>
        </w:numPr>
        <w:spacing w:after="60" w:line="276"/>
      </w:pPr>
      <w:r>
        <w:rPr>
          <w:b/>
          <w:bCs/>
          <w:sz w:val="22"/>
          <w:szCs w:val="22"/>
        </w:rPr>
        <w:t xml:space="preserve">DEBERÍA: </w:t>
      </w:r>
      <w:r>
        <w:rPr>
          <w:sz w:val="22"/>
          <w:szCs w:val="22"/>
        </w:rPr>
        <w:t xml:space="preserve">preferirse migraciones de EF Core solo si el equipo controla el esquema por completo; en entornos con DBA, el script SQL manual es la fuente de verdad.</w:t>
      </w:r>
    </w:p>
    <w:p>
      <w:r>
        <w:br w:type="page"/>
      </w:r>
    </w:p>
    <w:p>
      <w:pPr>
        <w:pStyle w:val="Heading1"/>
        <w:spacing w:after="160" w:before="360"/>
      </w:pPr>
      <w:r>
        <w:t xml:space="preserve">8. Blazor WebAssembly</w:t>
      </w:r>
    </w:p>
    <w:p>
      <w:pPr>
        <w:pStyle w:val="Heading2"/>
        <w:spacing w:after="120" w:before="260"/>
      </w:pPr>
      <w:r>
        <w:t xml:space="preserve">8.1 Ubicación en la arquitectura</w:t>
      </w:r>
    </w:p>
    <w:p>
      <w:pPr>
        <w:spacing w:after="120" w:line="276"/>
        <w:jc w:val="both"/>
      </w:pPr>
      <w:r>
        <w:rPr>
          <w:sz w:val="22"/>
          <w:szCs w:val="22"/>
        </w:rPr>
        <w:t xml:space="preserve">El proyecto Blazor WebAssembly es una capa de presentación más, al mismo nivel que el API. Se ejecuta en el navegador del usuario, por lo que está fuera del perímetro de confianza: todo su código es descargable e inspeccionable.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src/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Company.Product.Domain/            (sin cambios)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Company.Product.Application/       (sin cambios)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Company.Product.Infrastructure/    (sin cambios)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Company.Product.Api/               Backend HTTP</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Company.Product.Shared/            Contratos compartidos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Contracts/Clientes/             CrearClienteRequest.cs, ClienteResponse.cs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Validation/                     Validadores reutilizables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Common/                         ApiResult.cs, PagedResponse.cs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Company.Product.Client/            Blazor WebAssembly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Pages/                          ClientesPage.razor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Components/                     ClienteFormulario.razor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Layout/                         MainLayout.razor, NavMenu.razor</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ApiClients/                     ClienteApiClient.cs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State/                          SesionState.cs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Handlers/                       AuthorizationMessageHandler</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   └─ Program.cs</w:t>
      </w:r>
    </w:p>
    <w:p>
      <w:pPr>
        <w:pStyle w:val="ListParagraph"/>
        <w:numPr>
          <w:ilvl w:val="0"/>
          <w:numId w:val="2"/>
        </w:numPr>
        <w:spacing w:after="60" w:line="276"/>
      </w:pPr>
      <w:r>
        <w:rPr>
          <w:b/>
          <w:bCs/>
          <w:sz w:val="22"/>
          <w:szCs w:val="22"/>
        </w:rPr>
        <w:t xml:space="preserve">DEBE: </w:t>
      </w:r>
      <w:r>
        <w:rPr>
          <w:sz w:val="22"/>
          <w:szCs w:val="22"/>
        </w:rPr>
        <w:t xml:space="preserve">el proyecto Client referenciar únicamente </w:t>
      </w:r>
      <w:r>
        <w:rPr>
          <w:rFonts w:ascii="Consolas" w:cs="Consolas" w:eastAsia="Consolas" w:hAnsi="Consolas"/>
          <w:sz w:val="20"/>
          <w:szCs w:val="20"/>
        </w:rPr>
        <w:t xml:space="preserve">Shared</w:t>
      </w:r>
      <w:r>
        <w:rPr>
          <w:sz w:val="22"/>
          <w:szCs w:val="22"/>
        </w:rPr>
        <w:t xml:space="preserve">. Nada más.</w:t>
      </w:r>
    </w:p>
    <w:p>
      <w:pPr>
        <w:pStyle w:val="ListParagraph"/>
        <w:numPr>
          <w:ilvl w:val="0"/>
          <w:numId w:val="2"/>
        </w:numPr>
        <w:spacing w:after="60" w:line="276"/>
      </w:pPr>
      <w:r>
        <w:rPr>
          <w:b/>
          <w:bCs/>
          <w:sz w:val="22"/>
          <w:szCs w:val="22"/>
        </w:rPr>
        <w:t xml:space="preserve">NO DEBE: </w:t>
      </w:r>
      <w:r>
        <w:rPr>
          <w:sz w:val="22"/>
          <w:szCs w:val="22"/>
        </w:rPr>
        <w:t xml:space="preserve">el proyecto Client referenciar Domain, Application ni Infrastructure. Un </w:t>
      </w:r>
      <w:r>
        <w:rPr>
          <w:rFonts w:ascii="Consolas" w:cs="Consolas" w:eastAsia="Consolas" w:hAnsi="Consolas"/>
          <w:sz w:val="20"/>
          <w:szCs w:val="20"/>
        </w:rPr>
        <w:t xml:space="preserve">ProjectReference</w:t>
      </w:r>
      <w:r>
        <w:rPr>
          <w:sz w:val="22"/>
          <w:szCs w:val="22"/>
        </w:rPr>
        <w:t xml:space="preserve"> a cualquiera de ellos publica las reglas de negocio y la estructura de la base de datos en el navegador del usuario.</w:t>
      </w:r>
    </w:p>
    <w:p>
      <w:pPr>
        <w:pStyle w:val="ListParagraph"/>
        <w:numPr>
          <w:ilvl w:val="0"/>
          <w:numId w:val="2"/>
        </w:numPr>
        <w:spacing w:after="60" w:line="276"/>
      </w:pPr>
      <w:r>
        <w:rPr>
          <w:b/>
          <w:bCs/>
          <w:sz w:val="22"/>
          <w:szCs w:val="22"/>
        </w:rPr>
        <w:t xml:space="preserve">DEBE: </w:t>
      </w:r>
      <w:r>
        <w:rPr>
          <w:sz w:val="22"/>
          <w:szCs w:val="22"/>
        </w:rPr>
        <w:t xml:space="preserve">los DTOs de request y response vivir en </w:t>
      </w:r>
      <w:r>
        <w:rPr>
          <w:rFonts w:ascii="Consolas" w:cs="Consolas" w:eastAsia="Consolas" w:hAnsi="Consolas"/>
          <w:sz w:val="20"/>
          <w:szCs w:val="20"/>
        </w:rPr>
        <w:t xml:space="preserve">Shared</w:t>
      </w:r>
      <w:r>
        <w:rPr>
          <w:sz w:val="22"/>
          <w:szCs w:val="22"/>
        </w:rPr>
        <w:t xml:space="preserve"> y ser el único contrato entre front y API. Son records inmutables sin lógica.</w:t>
      </w:r>
    </w:p>
    <w:p>
      <w:pPr>
        <w:pStyle w:val="ListParagraph"/>
        <w:numPr>
          <w:ilvl w:val="0"/>
          <w:numId w:val="2"/>
        </w:numPr>
        <w:spacing w:after="60" w:line="276"/>
      </w:pPr>
      <w:r>
        <w:rPr>
          <w:b/>
          <w:bCs/>
          <w:sz w:val="22"/>
          <w:szCs w:val="22"/>
        </w:rPr>
        <w:t xml:space="preserve">NO DEBE: </w:t>
      </w:r>
      <w:r>
        <w:rPr>
          <w:sz w:val="22"/>
          <w:szCs w:val="22"/>
        </w:rPr>
        <w:t xml:space="preserve">Shared contener EF Core, Oracle, atributos de persistencia ni entidades de dominio.</w:t>
      </w:r>
    </w:p>
    <w:p>
      <w:pPr>
        <w:pStyle w:val="Heading3"/>
        <w:spacing w:after="100" w:before="200"/>
      </w:pPr>
      <w:r>
        <w:t xml:space="preserve">8.1.1 Excepción: acceso directo a la capa Application</w:t>
      </w:r>
    </w:p>
    <w:p>
      <w:pPr>
        <w:spacing w:after="120" w:line="276"/>
        <w:jc w:val="both"/>
      </w:pPr>
      <w:r>
        <w:rPr>
          <w:sz w:val="22"/>
          <w:szCs w:val="22"/>
        </w:rPr>
        <w:t xml:space="preserve">Se consultó la posibilidad de que el front llame directamente a Application en algunos casos. En WebAssembly esto no es posible ni permitido: el código corre en el navegador y no tiene acceso a la red interna, a la cadena de conexión de Oracle ni a ningún secreto.</w:t>
      </w:r>
    </w:p>
    <w:p>
      <w:pPr>
        <w:pStyle w:val="ListParagraph"/>
        <w:numPr>
          <w:ilvl w:val="0"/>
          <w:numId w:val="2"/>
        </w:numPr>
        <w:spacing w:after="60" w:line="276"/>
      </w:pPr>
      <w:r>
        <w:rPr>
          <w:b/>
          <w:bCs/>
          <w:sz w:val="22"/>
          <w:szCs w:val="22"/>
        </w:rPr>
        <w:t xml:space="preserve">DEBE: </w:t>
      </w:r>
      <w:r>
        <w:rPr>
          <w:sz w:val="22"/>
          <w:szCs w:val="22"/>
        </w:rPr>
        <w:t xml:space="preserve">todo acceso a datos desde el cliente pasar por HTTP contra el API.</w:t>
      </w:r>
    </w:p>
    <w:p>
      <w:pPr>
        <w:pStyle w:val="ListParagraph"/>
        <w:numPr>
          <w:ilvl w:val="0"/>
          <w:numId w:val="2"/>
        </w:numPr>
        <w:spacing w:after="60" w:line="276"/>
      </w:pPr>
      <w:r>
        <w:rPr>
          <w:b/>
          <w:bCs/>
          <w:sz w:val="22"/>
          <w:szCs w:val="22"/>
        </w:rPr>
        <w:t xml:space="preserve">PUEDE: </w:t>
      </w:r>
      <w:r>
        <w:rPr>
          <w:sz w:val="22"/>
          <w:szCs w:val="22"/>
        </w:rPr>
        <w:t xml:space="preserve">un componente ejecutarse con render en servidor (prerendering o modo interactivo de servidor dentro de un Blazor Web App) y en ese caso sí resolver un handler de Application por inyección de dependencias. Es la única excepción admitida.</w:t>
      </w:r>
    </w:p>
    <w:p>
      <w:pPr>
        <w:pStyle w:val="ListParagraph"/>
        <w:numPr>
          <w:ilvl w:val="0"/>
          <w:numId w:val="2"/>
        </w:numPr>
        <w:spacing w:after="60" w:line="276"/>
      </w:pPr>
      <w:r>
        <w:rPr>
          <w:b/>
          <w:bCs/>
          <w:sz w:val="22"/>
          <w:szCs w:val="22"/>
        </w:rPr>
        <w:t xml:space="preserve">DEBE: </w:t>
      </w:r>
      <w:r>
        <w:rPr>
          <w:sz w:val="22"/>
          <w:szCs w:val="22"/>
        </w:rPr>
        <w:t xml:space="preserve">si se usa esa excepción, el componente no compartirse con el ensamblado WASM: se coloca en el proyecto servidor, nunca en </w:t>
      </w:r>
      <w:r>
        <w:rPr>
          <w:rFonts w:ascii="Consolas" w:cs="Consolas" w:eastAsia="Consolas" w:hAnsi="Consolas"/>
          <w:sz w:val="20"/>
          <w:szCs w:val="20"/>
        </w:rPr>
        <w:t xml:space="preserve">Company.Product.Client</w:t>
      </w:r>
      <w:r>
        <w:rPr>
          <w:sz w:val="22"/>
          <w:szCs w:val="22"/>
        </w:rPr>
        <w:t xml:space="preserve">. Un componente que a veces llama a Application y a veces al API no compila para ambos destinos y se vuelve inmantenible.</w:t>
      </w:r>
    </w:p>
    <w:p>
      <w:pPr>
        <w:pStyle w:val="ListParagraph"/>
        <w:numPr>
          <w:ilvl w:val="0"/>
          <w:numId w:val="2"/>
        </w:numPr>
        <w:spacing w:after="60" w:line="276"/>
      </w:pPr>
      <w:r>
        <w:rPr>
          <w:b/>
          <w:bCs/>
          <w:sz w:val="22"/>
          <w:szCs w:val="22"/>
        </w:rPr>
        <w:t xml:space="preserve">DEBERÍA: </w:t>
      </w:r>
      <w:r>
        <w:rPr>
          <w:sz w:val="22"/>
          <w:szCs w:val="22"/>
        </w:rPr>
        <w:t xml:space="preserve">unificarse en una sola vía (el API) salvo que el prerender de una pantalla crítica lo justifique por rendimiento medido.</w:t>
      </w:r>
    </w:p>
    <w:p>
      <w:pPr>
        <w:pStyle w:val="Heading2"/>
        <w:spacing w:after="120" w:before="260"/>
      </w:pPr>
      <w:r>
        <w:t xml:space="preserve">8.2 Nomenclatura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600"/>
        <w:gridCol w:w="2600"/>
        <w:gridCol w:w="3800"/>
      </w:tblGrid>
      <w:tr>
        <w:tc>
          <w:tcPr>
            <w:tcW w:type="dxa" w:w="2600"/>
            <w:gridSpan w:val="1"/>
            <w:shd w:fill="DCE6F1" w:val="clear"/>
            <w:tcMar>
              <w:top w:type="dxa" w:w="60"/>
              <w:left w:type="dxa" w:w="100"/>
              <w:bottom w:type="dxa" w:w="60"/>
              <w:right w:type="dxa" w:w="100"/>
            </w:tcMar>
          </w:tcPr>
          <w:p>
            <w:pPr>
              <w:spacing w:after="0"/>
            </w:pPr>
            <w:r>
              <w:rPr>
                <w:b/>
                <w:bCs/>
                <w:sz w:val="19"/>
                <w:szCs w:val="19"/>
              </w:rPr>
              <w:t xml:space="preserve">Elemento</w:t>
            </w:r>
          </w:p>
        </w:tc>
        <w:tc>
          <w:tcPr>
            <w:tcW w:type="dxa" w:w="2600"/>
            <w:gridSpan w:val="1"/>
            <w:shd w:fill="DCE6F1" w:val="clear"/>
            <w:tcMar>
              <w:top w:type="dxa" w:w="60"/>
              <w:left w:type="dxa" w:w="100"/>
              <w:bottom w:type="dxa" w:w="60"/>
              <w:right w:type="dxa" w:w="100"/>
            </w:tcMar>
          </w:tcPr>
          <w:p>
            <w:pPr>
              <w:spacing w:after="0"/>
            </w:pPr>
            <w:r>
              <w:rPr>
                <w:b/>
                <w:bCs/>
                <w:sz w:val="19"/>
                <w:szCs w:val="19"/>
              </w:rPr>
              <w:t xml:space="preserve">Convención</w:t>
            </w:r>
          </w:p>
        </w:tc>
        <w:tc>
          <w:tcPr>
            <w:tcW w:type="dxa" w:w="3800"/>
            <w:gridSpan w:val="1"/>
            <w:shd w:fill="DCE6F1" w:val="clear"/>
            <w:tcMar>
              <w:top w:type="dxa" w:w="60"/>
              <w:left w:type="dxa" w:w="100"/>
              <w:bottom w:type="dxa" w:w="60"/>
              <w:right w:type="dxa" w:w="100"/>
            </w:tcMar>
          </w:tcPr>
          <w:p>
            <w:pPr>
              <w:spacing w:after="0"/>
            </w:pPr>
            <w:r>
              <w:rPr>
                <w:b/>
                <w:bCs/>
                <w:sz w:val="19"/>
                <w:szCs w:val="19"/>
              </w:rPr>
              <w:t xml:space="preserve">Ejemplo</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Página enrutable</w:t>
            </w:r>
          </w:p>
        </w:tc>
        <w:tc>
          <w:tcPr>
            <w:tcW w:type="dxa" w:w="2600"/>
            <w:gridSpan w:val="1"/>
            <w:tcMar>
              <w:top w:type="dxa" w:w="60"/>
              <w:left w:type="dxa" w:w="100"/>
              <w:bottom w:type="dxa" w:w="60"/>
              <w:right w:type="dxa" w:w="100"/>
            </w:tcMar>
          </w:tcPr>
          <w:p>
            <w:pPr>
              <w:spacing w:after="0"/>
            </w:pPr>
            <w:r>
              <w:rPr>
                <w:b w:val="false"/>
                <w:bCs w:val="false"/>
                <w:sz w:val="19"/>
                <w:szCs w:val="19"/>
              </w:rPr>
              <w:t xml:space="preserve">PascalCase + Page</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ClientesPage.razor</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Componente reutilizable</w:t>
            </w:r>
          </w:p>
        </w:tc>
        <w:tc>
          <w:tcPr>
            <w:tcW w:type="dxa" w:w="2600"/>
            <w:gridSpan w:val="1"/>
            <w:tcMar>
              <w:top w:type="dxa" w:w="60"/>
              <w:left w:type="dxa" w:w="100"/>
              <w:bottom w:type="dxa" w:w="60"/>
              <w:right w:type="dxa" w:w="100"/>
            </w:tcMar>
          </w:tcPr>
          <w:p>
            <w:pPr>
              <w:spacing w:after="0"/>
            </w:pPr>
            <w:r>
              <w:rPr>
                <w:b w:val="false"/>
                <w:bCs w:val="false"/>
                <w:sz w:val="19"/>
                <w:szCs w:val="19"/>
              </w:rPr>
              <w:t xml:space="preserve">PascalCase, sin sufijo</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ClienteFormulario.razor</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Code-behind</w:t>
            </w:r>
          </w:p>
        </w:tc>
        <w:tc>
          <w:tcPr>
            <w:tcW w:type="dxa" w:w="2600"/>
            <w:gridSpan w:val="1"/>
            <w:tcMar>
              <w:top w:type="dxa" w:w="60"/>
              <w:left w:type="dxa" w:w="100"/>
              <w:bottom w:type="dxa" w:w="60"/>
              <w:right w:type="dxa" w:w="100"/>
            </w:tcMar>
          </w:tcPr>
          <w:p>
            <w:pPr>
              <w:spacing w:after="0"/>
            </w:pPr>
            <w:r>
              <w:rPr>
                <w:b w:val="false"/>
                <w:bCs w:val="false"/>
                <w:sz w:val="19"/>
                <w:szCs w:val="19"/>
              </w:rPr>
              <w:t xml:space="preserve">= componente + .cs</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ClienteFormulario.razor.cs</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CSS aislado</w:t>
            </w:r>
          </w:p>
        </w:tc>
        <w:tc>
          <w:tcPr>
            <w:tcW w:type="dxa" w:w="2600"/>
            <w:gridSpan w:val="1"/>
            <w:tcMar>
              <w:top w:type="dxa" w:w="60"/>
              <w:left w:type="dxa" w:w="100"/>
              <w:bottom w:type="dxa" w:w="60"/>
              <w:right w:type="dxa" w:w="100"/>
            </w:tcMar>
          </w:tcPr>
          <w:p>
            <w:pPr>
              <w:spacing w:after="0"/>
            </w:pPr>
            <w:r>
              <w:rPr>
                <w:b w:val="false"/>
                <w:bCs w:val="false"/>
                <w:sz w:val="19"/>
                <w:szCs w:val="19"/>
              </w:rPr>
              <w:t xml:space="preserve">= componente + .css</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ClienteFormulario.razor.css</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Clase CSS</w:t>
            </w:r>
          </w:p>
        </w:tc>
        <w:tc>
          <w:tcPr>
            <w:tcW w:type="dxa" w:w="2600"/>
            <w:gridSpan w:val="1"/>
            <w:tcMar>
              <w:top w:type="dxa" w:w="60"/>
              <w:left w:type="dxa" w:w="100"/>
              <w:bottom w:type="dxa" w:w="60"/>
              <w:right w:type="dxa" w:w="100"/>
            </w:tcMar>
          </w:tcPr>
          <w:p>
            <w:pPr>
              <w:spacing w:after="0"/>
            </w:pPr>
            <w:r>
              <w:rPr>
                <w:b w:val="false"/>
                <w:bCs w:val="false"/>
                <w:sz w:val="19"/>
                <w:szCs w:val="19"/>
              </w:rPr>
              <w:t xml:space="preserve">kebab-case</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.cliente-formulario-cabecera</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Ruta</w:t>
            </w:r>
          </w:p>
        </w:tc>
        <w:tc>
          <w:tcPr>
            <w:tcW w:type="dxa" w:w="2600"/>
            <w:gridSpan w:val="1"/>
            <w:tcMar>
              <w:top w:type="dxa" w:w="60"/>
              <w:left w:type="dxa" w:w="100"/>
              <w:bottom w:type="dxa" w:w="60"/>
              <w:right w:type="dxa" w:w="100"/>
            </w:tcMar>
          </w:tcPr>
          <w:p>
            <w:pPr>
              <w:spacing w:after="0"/>
            </w:pPr>
            <w:r>
              <w:rPr>
                <w:b w:val="false"/>
                <w:bCs w:val="false"/>
                <w:sz w:val="19"/>
                <w:szCs w:val="19"/>
              </w:rPr>
              <w:t xml:space="preserve">minúsculas, kebab-case, plural</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/clientes/{clienteId:long}</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Parámetro de componente</w:t>
            </w:r>
          </w:p>
        </w:tc>
        <w:tc>
          <w:tcPr>
            <w:tcW w:type="dxa" w:w="2600"/>
            <w:gridSpan w:val="1"/>
            <w:tcMar>
              <w:top w:type="dxa" w:w="60"/>
              <w:left w:type="dxa" w:w="100"/>
              <w:bottom w:type="dxa" w:w="60"/>
              <w:right w:type="dxa" w:w="100"/>
            </w:tcMar>
          </w:tcPr>
          <w:p>
            <w:pPr>
              <w:spacing w:after="0"/>
            </w:pPr>
            <w:r>
              <w:rPr>
                <w:b w:val="false"/>
                <w:bCs w:val="false"/>
                <w:sz w:val="19"/>
                <w:szCs w:val="19"/>
              </w:rPr>
              <w:t xml:space="preserve">PascalCase</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[Parameter] public long ClienteId</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Callback</w:t>
            </w:r>
          </w:p>
        </w:tc>
        <w:tc>
          <w:tcPr>
            <w:tcW w:type="dxa" w:w="2600"/>
            <w:gridSpan w:val="1"/>
            <w:tcMar>
              <w:top w:type="dxa" w:w="60"/>
              <w:left w:type="dxa" w:w="100"/>
              <w:bottom w:type="dxa" w:w="60"/>
              <w:right w:type="dxa" w:w="100"/>
            </w:tcMar>
          </w:tcPr>
          <w:p>
            <w:pPr>
              <w:spacing w:after="0"/>
            </w:pPr>
            <w:r>
              <w:rPr>
                <w:b w:val="false"/>
                <w:bCs w:val="false"/>
                <w:sz w:val="19"/>
                <w:szCs w:val="19"/>
              </w:rPr>
              <w:t xml:space="preserve">On + Evento en pasado</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OnClienteGuardado</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Cliente de API</w:t>
            </w:r>
          </w:p>
        </w:tc>
        <w:tc>
          <w:tcPr>
            <w:tcW w:type="dxa" w:w="2600"/>
            <w:gridSpan w:val="1"/>
            <w:tcMar>
              <w:top w:type="dxa" w:w="60"/>
              <w:left w:type="dxa" w:w="100"/>
              <w:bottom w:type="dxa" w:w="60"/>
              <w:right w:type="dxa" w:w="100"/>
            </w:tcMar>
          </w:tcPr>
          <w:p>
            <w:pPr>
              <w:spacing w:after="0"/>
            </w:pPr>
            <w:r>
              <w:rPr>
                <w:b w:val="false"/>
                <w:bCs w:val="false"/>
                <w:sz w:val="19"/>
                <w:szCs w:val="19"/>
              </w:rPr>
              <w:t xml:space="preserve">Entidad + ApiClient</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IClienteApiClient</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Contenedor de estado</w:t>
            </w:r>
          </w:p>
        </w:tc>
        <w:tc>
          <w:tcPr>
            <w:tcW w:type="dxa" w:w="2600"/>
            <w:gridSpan w:val="1"/>
            <w:tcMar>
              <w:top w:type="dxa" w:w="60"/>
              <w:left w:type="dxa" w:w="100"/>
              <w:bottom w:type="dxa" w:w="60"/>
              <w:right w:type="dxa" w:w="100"/>
            </w:tcMar>
          </w:tcPr>
          <w:p>
            <w:pPr>
              <w:spacing w:after="0"/>
            </w:pPr>
            <w:r>
              <w:rPr>
                <w:b w:val="false"/>
                <w:bCs w:val="false"/>
                <w:sz w:val="19"/>
                <w:szCs w:val="19"/>
              </w:rPr>
              <w:t xml:space="preserve">Concepto + State</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CarritoState, SesionState</w:t>
            </w:r>
          </w:p>
        </w:tc>
      </w:tr>
      <w:tr>
        <w:tc>
          <w:tcPr>
            <w:tcW w:type="dxa" w:w="2600"/>
            <w:gridSpan w:val="1"/>
            <w:tcMar>
              <w:top w:type="dxa" w:w="60"/>
              <w:left w:type="dxa" w:w="100"/>
              <w:bottom w:type="dxa" w:w="60"/>
              <w:right w:type="dxa" w:w="100"/>
            </w:tcMar>
          </w:tcPr>
          <w:p>
            <w:pPr>
              <w:spacing w:after="0"/>
            </w:pPr>
            <w:r>
              <w:rPr>
                <w:b w:val="false"/>
                <w:bCs w:val="false"/>
                <w:sz w:val="19"/>
                <w:szCs w:val="19"/>
              </w:rPr>
              <w:t xml:space="preserve">Contrato compartido</w:t>
            </w:r>
          </w:p>
        </w:tc>
        <w:tc>
          <w:tcPr>
            <w:tcW w:type="dxa" w:w="2600"/>
            <w:gridSpan w:val="1"/>
            <w:tcMar>
              <w:top w:type="dxa" w:w="60"/>
              <w:left w:type="dxa" w:w="100"/>
              <w:bottom w:type="dxa" w:w="60"/>
              <w:right w:type="dxa" w:w="100"/>
            </w:tcMar>
          </w:tcPr>
          <w:p>
            <w:pPr>
              <w:spacing w:after="0"/>
            </w:pPr>
            <w:r>
              <w:rPr>
                <w:b w:val="false"/>
                <w:bCs w:val="false"/>
                <w:sz w:val="19"/>
                <w:szCs w:val="19"/>
              </w:rPr>
              <w:t xml:space="preserve">Acción + Entidad + Request/Response</w:t>
            </w:r>
          </w:p>
        </w:tc>
        <w:tc>
          <w:tcPr>
            <w:tcW w:type="dxa" w:w="3800"/>
            <w:tcMar>
              <w:top w:type="dxa" w:w="60"/>
              <w:left w:type="dxa" w:w="100"/>
              <w:bottom w:type="dxa" w:w="60"/>
              <w:right w:type="dxa" w:w="100"/>
            </w:tcMar>
          </w:tcPr>
          <w:p>
            <w:pPr>
              <w:spacing w:after="0"/>
            </w:pPr>
            <w:r>
              <w:rPr>
                <w:rFonts w:ascii="Consolas" w:cs="Consolas" w:eastAsia="Consolas" w:hAnsi="Consolas"/>
                <w:sz w:val="17"/>
                <w:szCs w:val="17"/>
              </w:rPr>
              <w:t xml:space="preserve">CrearClienteRequest</w:t>
            </w:r>
          </w:p>
        </w:tc>
      </w:tr>
    </w:tbl>
    <w:p>
      <w:pPr>
        <w:spacing w:after="120"/>
      </w:pPr>
    </w:p>
    <w:p>
      <w:pPr>
        <w:pStyle w:val="ListParagraph"/>
        <w:numPr>
          <w:ilvl w:val="0"/>
          <w:numId w:val="2"/>
        </w:numPr>
        <w:spacing w:after="60" w:line="276"/>
      </w:pPr>
      <w:r>
        <w:rPr>
          <w:b/>
          <w:bCs/>
          <w:sz w:val="22"/>
          <w:szCs w:val="22"/>
        </w:rPr>
        <w:t xml:space="preserve">DEBE: </w:t>
      </w:r>
      <w:r>
        <w:rPr>
          <w:sz w:val="22"/>
          <w:szCs w:val="22"/>
        </w:rPr>
        <w:t xml:space="preserve">el nombre del archivo coincidir exactamente con el del componente; el nombre de la carpeta refleja la funcionalidad, no el tipo técnico.</w:t>
      </w:r>
    </w:p>
    <w:p>
      <w:pPr>
        <w:pStyle w:val="ListParagraph"/>
        <w:numPr>
          <w:ilvl w:val="0"/>
          <w:numId w:val="2"/>
        </w:numPr>
        <w:spacing w:after="60" w:line="276"/>
      </w:pPr>
      <w:r>
        <w:rPr>
          <w:b/>
          <w:bCs/>
          <w:sz w:val="22"/>
          <w:szCs w:val="22"/>
        </w:rPr>
        <w:t xml:space="preserve">NO DEBE: </w:t>
      </w:r>
      <w:r>
        <w:rPr>
          <w:sz w:val="22"/>
          <w:szCs w:val="22"/>
        </w:rPr>
        <w:t xml:space="preserve">usarse rutas con mayúsculas ni con nombres de entidad en singular (</w:t>
      </w:r>
      <w:r>
        <w:rPr>
          <w:rFonts w:ascii="Consolas" w:cs="Consolas" w:eastAsia="Consolas" w:hAnsi="Consolas"/>
          <w:sz w:val="20"/>
          <w:szCs w:val="20"/>
        </w:rPr>
        <w:t xml:space="preserve">/Cliente/Editar/5</w:t>
      </w:r>
      <w:r>
        <w:rPr>
          <w:sz w:val="22"/>
          <w:szCs w:val="22"/>
        </w:rPr>
        <w:t xml:space="preserve"> está prohibido).</w:t>
      </w:r>
    </w:p>
    <w:p>
      <w:pPr>
        <w:pStyle w:val="Heading2"/>
        <w:spacing w:after="120" w:before="260"/>
      </w:pPr>
      <w:r>
        <w:t xml:space="preserve">8.3 Componentes</w:t>
      </w:r>
    </w:p>
    <w:p>
      <w:pPr>
        <w:pStyle w:val="ListParagraph"/>
        <w:numPr>
          <w:ilvl w:val="0"/>
          <w:numId w:val="2"/>
        </w:numPr>
        <w:spacing w:after="60" w:line="276"/>
      </w:pPr>
      <w:r>
        <w:rPr>
          <w:b/>
          <w:bCs/>
          <w:sz w:val="22"/>
          <w:szCs w:val="22"/>
        </w:rPr>
        <w:t xml:space="preserve">DEBE: </w:t>
      </w:r>
      <w:r>
        <w:rPr>
          <w:sz w:val="22"/>
          <w:szCs w:val="22"/>
        </w:rPr>
        <w:t xml:space="preserve">usarse code-behind (</w:t>
      </w:r>
      <w:r>
        <w:rPr>
          <w:rFonts w:ascii="Consolas" w:cs="Consolas" w:eastAsia="Consolas" w:hAnsi="Consolas"/>
          <w:sz w:val="20"/>
          <w:szCs w:val="20"/>
        </w:rPr>
        <w:t xml:space="preserve">partial class</w:t>
      </w:r>
      <w:r>
        <w:rPr>
          <w:sz w:val="22"/>
          <w:szCs w:val="22"/>
        </w:rPr>
        <w:t xml:space="preserve">) cuando el bloque </w:t>
      </w:r>
      <w:r>
        <w:rPr>
          <w:rFonts w:ascii="Consolas" w:cs="Consolas" w:eastAsia="Consolas" w:hAnsi="Consolas"/>
          <w:sz w:val="20"/>
          <w:szCs w:val="20"/>
        </w:rPr>
        <w:t xml:space="preserve">@code</w:t>
      </w:r>
      <w:r>
        <w:rPr>
          <w:sz w:val="22"/>
          <w:szCs w:val="22"/>
        </w:rPr>
        <w:t xml:space="preserve"> supera las 10 líneas. El marcado y la lógica no se mezclan.</w:t>
      </w:r>
    </w:p>
    <w:p>
      <w:pPr>
        <w:pStyle w:val="ListParagraph"/>
        <w:numPr>
          <w:ilvl w:val="0"/>
          <w:numId w:val="2"/>
        </w:numPr>
        <w:spacing w:after="60" w:line="276"/>
      </w:pPr>
      <w:r>
        <w:rPr>
          <w:b/>
          <w:bCs/>
          <w:sz w:val="22"/>
          <w:szCs w:val="22"/>
        </w:rPr>
        <w:t xml:space="preserve">DEBE: </w:t>
      </w:r>
      <w:r>
        <w:rPr>
          <w:sz w:val="22"/>
          <w:szCs w:val="22"/>
        </w:rPr>
        <w:t xml:space="preserve">un componente tener una sola responsabilidad. Si el marcado supera unas 150 líneas, se divide.</w:t>
      </w:r>
    </w:p>
    <w:p>
      <w:pPr>
        <w:pStyle w:val="ListParagraph"/>
        <w:numPr>
          <w:ilvl w:val="0"/>
          <w:numId w:val="2"/>
        </w:numPr>
        <w:spacing w:after="60" w:line="276"/>
      </w:pPr>
      <w:r>
        <w:rPr>
          <w:b/>
          <w:bCs/>
          <w:sz w:val="22"/>
          <w:szCs w:val="22"/>
        </w:rPr>
        <w:t xml:space="preserve">DEBE: </w:t>
      </w:r>
      <w:r>
        <w:rPr>
          <w:sz w:val="22"/>
          <w:szCs w:val="22"/>
        </w:rPr>
        <w:t xml:space="preserve">los parámetros obligatorios marcarse con </w:t>
      </w:r>
      <w:r>
        <w:rPr>
          <w:rFonts w:ascii="Consolas" w:cs="Consolas" w:eastAsia="Consolas" w:hAnsi="Consolas"/>
          <w:sz w:val="20"/>
          <w:szCs w:val="20"/>
        </w:rPr>
        <w:t xml:space="preserve">[EditorRequired]</w:t>
      </w:r>
      <w:r>
        <w:rPr>
          <w:sz w:val="22"/>
          <w:szCs w:val="22"/>
        </w:rPr>
        <w:t xml:space="preserve"> y validarse en </w:t>
      </w:r>
      <w:r>
        <w:rPr>
          <w:rFonts w:ascii="Consolas" w:cs="Consolas" w:eastAsia="Consolas" w:hAnsi="Consolas"/>
          <w:sz w:val="20"/>
          <w:szCs w:val="20"/>
        </w:rPr>
        <w:t xml:space="preserve">OnParametersSet</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usarse </w:t>
      </w:r>
      <w:r>
        <w:rPr>
          <w:rFonts w:ascii="Consolas" w:cs="Consolas" w:eastAsia="Consolas" w:hAnsi="Consolas"/>
          <w:sz w:val="20"/>
          <w:szCs w:val="20"/>
        </w:rPr>
        <w:t xml:space="preserve">@key</w:t>
      </w:r>
      <w:r>
        <w:rPr>
          <w:sz w:val="22"/>
          <w:szCs w:val="22"/>
        </w:rPr>
        <w:t xml:space="preserve"> en todo bucle que renderice componentes o elementos con identidad.</w:t>
      </w:r>
    </w:p>
    <w:p>
      <w:pPr>
        <w:pStyle w:val="ListParagraph"/>
        <w:numPr>
          <w:ilvl w:val="0"/>
          <w:numId w:val="2"/>
        </w:numPr>
        <w:spacing w:after="60" w:line="276"/>
      </w:pPr>
      <w:r>
        <w:rPr>
          <w:b/>
          <w:bCs/>
          <w:sz w:val="22"/>
          <w:szCs w:val="22"/>
        </w:rPr>
        <w:t xml:space="preserve">DEBE: </w:t>
      </w:r>
      <w:r>
        <w:rPr>
          <w:sz w:val="22"/>
          <w:szCs w:val="22"/>
        </w:rPr>
        <w:t xml:space="preserve">los componentes que se suscriben a eventos o crean </w:t>
      </w:r>
      <w:r>
        <w:rPr>
          <w:rFonts w:ascii="Consolas" w:cs="Consolas" w:eastAsia="Consolas" w:hAnsi="Consolas"/>
          <w:sz w:val="20"/>
          <w:szCs w:val="20"/>
        </w:rPr>
        <w:t xml:space="preserve">CancellationTokenSource</w:t>
      </w:r>
      <w:r>
        <w:rPr>
          <w:sz w:val="22"/>
          <w:szCs w:val="22"/>
        </w:rPr>
        <w:t xml:space="preserve"> implementar </w:t>
      </w:r>
      <w:r>
        <w:rPr>
          <w:rFonts w:ascii="Consolas" w:cs="Consolas" w:eastAsia="Consolas" w:hAnsi="Consolas"/>
          <w:sz w:val="20"/>
          <w:szCs w:val="20"/>
        </w:rPr>
        <w:t xml:space="preserve">IDisposable</w:t>
      </w:r>
      <w:r>
        <w:rPr>
          <w:sz w:val="22"/>
          <w:szCs w:val="22"/>
        </w:rPr>
        <w:t xml:space="preserve"> o </w:t>
      </w:r>
      <w:r>
        <w:rPr>
          <w:rFonts w:ascii="Consolas" w:cs="Consolas" w:eastAsia="Consolas" w:hAnsi="Consolas"/>
          <w:sz w:val="20"/>
          <w:szCs w:val="20"/>
        </w:rPr>
        <w:t xml:space="preserve">IAsyncDisposable</w:t>
      </w:r>
      <w:r>
        <w:rPr>
          <w:sz w:val="22"/>
          <w:szCs w:val="22"/>
        </w:rPr>
        <w:t xml:space="preserve"> y liberar en </w:t>
      </w:r>
      <w:r>
        <w:rPr>
          <w:rFonts w:ascii="Consolas" w:cs="Consolas" w:eastAsia="Consolas" w:hAnsi="Consolas"/>
          <w:sz w:val="20"/>
          <w:szCs w:val="20"/>
        </w:rPr>
        <w:t xml:space="preserve">Dispose</w:t>
      </w:r>
      <w:r>
        <w:rPr>
          <w:sz w:val="22"/>
          <w:szCs w:val="22"/>
        </w:rPr>
        <w:t xml:space="preserve">.</w:t>
      </w:r>
    </w:p>
    <w:p>
      <w:pPr>
        <w:pStyle w:val="ListParagraph"/>
        <w:numPr>
          <w:ilvl w:val="0"/>
          <w:numId w:val="2"/>
        </w:numPr>
        <w:spacing w:after="60" w:line="276"/>
      </w:pPr>
      <w:r>
        <w:rPr>
          <w:b/>
          <w:bCs/>
          <w:sz w:val="22"/>
          <w:szCs w:val="22"/>
        </w:rPr>
        <w:t xml:space="preserve">NO DEBE: </w:t>
      </w:r>
      <w:r>
        <w:rPr>
          <w:sz w:val="22"/>
          <w:szCs w:val="22"/>
        </w:rPr>
        <w:t xml:space="preserve">haber lógica de negocio en un componente. El componente orquesta: llama a un servicio y muestra el resultado.</w:t>
      </w:r>
    </w:p>
    <w:p>
      <w:pPr>
        <w:pStyle w:val="ListParagraph"/>
        <w:numPr>
          <w:ilvl w:val="0"/>
          <w:numId w:val="2"/>
        </w:numPr>
        <w:spacing w:after="60" w:line="276"/>
      </w:pPr>
      <w:r>
        <w:rPr>
          <w:b/>
          <w:bCs/>
          <w:sz w:val="22"/>
          <w:szCs w:val="22"/>
        </w:rPr>
        <w:t xml:space="preserve">NO DEBE: </w:t>
      </w:r>
      <w:r>
        <w:rPr>
          <w:sz w:val="22"/>
          <w:szCs w:val="22"/>
        </w:rPr>
        <w:t xml:space="preserve">llamarse </w:t>
      </w:r>
      <w:r>
        <w:rPr>
          <w:rFonts w:ascii="Consolas" w:cs="Consolas" w:eastAsia="Consolas" w:hAnsi="Consolas"/>
          <w:sz w:val="20"/>
          <w:szCs w:val="20"/>
        </w:rPr>
        <w:t xml:space="preserve">StateHasChanged()</w:t>
      </w:r>
      <w:r>
        <w:rPr>
          <w:sz w:val="22"/>
          <w:szCs w:val="22"/>
        </w:rPr>
        <w:t xml:space="preserve"> de forma defensiva. Solo se usa cuando el cambio ocurre fuera del ciclo de vida (temporizadores, eventos externos).</w:t>
      </w:r>
    </w:p>
    <w:p>
      <w:pPr>
        <w:pStyle w:val="ListParagraph"/>
        <w:numPr>
          <w:ilvl w:val="0"/>
          <w:numId w:val="2"/>
        </w:numPr>
        <w:spacing w:after="60" w:line="276"/>
      </w:pPr>
      <w:r>
        <w:rPr>
          <w:b/>
          <w:bCs/>
          <w:sz w:val="22"/>
          <w:szCs w:val="22"/>
        </w:rPr>
        <w:t xml:space="preserve">NO DEBE: </w:t>
      </w:r>
      <w:r>
        <w:rPr>
          <w:sz w:val="22"/>
          <w:szCs w:val="22"/>
        </w:rPr>
        <w:t xml:space="preserve">ejecutarse trabajo en </w:t>
      </w:r>
      <w:r>
        <w:rPr>
          <w:rFonts w:ascii="Consolas" w:cs="Consolas" w:eastAsia="Consolas" w:hAnsi="Consolas"/>
          <w:sz w:val="20"/>
          <w:szCs w:val="20"/>
        </w:rPr>
        <w:t xml:space="preserve">OnParametersSetAsync</w:t>
      </w:r>
      <w:r>
        <w:rPr>
          <w:sz w:val="22"/>
          <w:szCs w:val="22"/>
        </w:rPr>
        <w:t xml:space="preserve"> sin verificar que el parámetro realmente cambió: ese método se ejecuta en cada render del padre.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@page "/clientes/{ClienteId:long}"</w:t>
      </w:r>
    </w:p>
    <w:p>
      <w:pPr>
        <w:pBdr>
          <w:left w:val="single" w:color="1F4E79" w:sz="12" w:space="6"/>
        </w:pBdr>
        <w:shd w:fill="F2F2F2" w:val="clear"/>
        <w:spacing w:after="0" w:line="240"/>
        <w:ind w:left="200" w:right="200"/>
      </w:pPr>
      <w:r>
        <w:rPr>
          <w:rFonts w:ascii="Consolas" w:cs="Consolas" w:eastAsia="Consolas" w:hAnsi="Consolas"/>
          <w:sz w:val="18"/>
          <w:szCs w:val="18"/>
        </w:rPr>
        <w:t xml:space="preserve">@rendermode InteractiveWebAssembly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&lt;PageTitle&gt;Cliente&lt;/PageTitle&gt;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@if (_cargando)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&lt;CargandoIndicador /&gt;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else if (_cliente is not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&lt;ClienteFormulario Cliente="_cliente"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OnClienteGuardado="ManejarClienteGuardadoAsync" /&gt;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ClienteDetallePage.razor.cs</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partial class ClienteDetallePage : IDisposable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readonly CancellationTokenSource _cts = new();</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ClienteResponse? _cliente;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private bool _cargando = true;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[Parameter, EditorRequired] public long ClienteId { get; set;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[Inject] private IClienteApiClient ClienteApiClient { get; set; } = default!;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protected override async Task OnParametersSetAsync()</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_cargando = true;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var resultado = await ClienteApiClient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.ObtenerPorIdAsync(ClienteId, _cts.Token);</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_cliente  = resultado.EsExitoso ? resultado.Valor : null;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_cargando = false;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public void Dispose()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_cts.Cancel();</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_cts.Dispose();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Heading2"/>
        <w:spacing w:after="120" w:before="260"/>
      </w:pPr>
      <w:r>
        <w:t xml:space="preserve">8.4 Comunicación con el API</w:t>
      </w:r>
    </w:p>
    <w:p>
      <w:pPr>
        <w:pStyle w:val="ListParagraph"/>
        <w:numPr>
          <w:ilvl w:val="0"/>
          <w:numId w:val="2"/>
        </w:numPr>
        <w:spacing w:after="60" w:line="276"/>
      </w:pPr>
      <w:r>
        <w:rPr>
          <w:b/>
          <w:bCs/>
          <w:sz w:val="22"/>
          <w:szCs w:val="22"/>
        </w:rPr>
        <w:t xml:space="preserve">DEBE: </w:t>
      </w:r>
      <w:r>
        <w:rPr>
          <w:sz w:val="22"/>
          <w:szCs w:val="22"/>
        </w:rPr>
        <w:t xml:space="preserve">toda llamada HTTP pasar por un typed client registrado en DI (</w:t>
      </w:r>
      <w:r>
        <w:rPr>
          <w:rFonts w:ascii="Consolas" w:cs="Consolas" w:eastAsia="Consolas" w:hAnsi="Consolas"/>
          <w:sz w:val="20"/>
          <w:szCs w:val="20"/>
        </w:rPr>
        <w:t xml:space="preserve">AddHttpClient&lt;IClienteApiClient, ClienteApiClient&gt;()</w:t>
      </w:r>
      <w:r>
        <w:rPr>
          <w:sz w:val="22"/>
          <w:szCs w:val="22"/>
        </w:rPr>
        <w:t xml:space="preserve">).</w:t>
      </w:r>
    </w:p>
    <w:p>
      <w:pPr>
        <w:pStyle w:val="ListParagraph"/>
        <w:numPr>
          <w:ilvl w:val="0"/>
          <w:numId w:val="2"/>
        </w:numPr>
        <w:spacing w:after="60" w:line="276"/>
      </w:pPr>
      <w:r>
        <w:rPr>
          <w:b/>
          <w:bCs/>
          <w:sz w:val="22"/>
          <w:szCs w:val="22"/>
        </w:rPr>
        <w:t xml:space="preserve">NO DEBE: </w:t>
      </w:r>
      <w:r>
        <w:rPr>
          <w:sz w:val="22"/>
          <w:szCs w:val="22"/>
        </w:rPr>
        <w:t xml:space="preserve">inyectarse </w:t>
      </w:r>
      <w:r>
        <w:rPr>
          <w:rFonts w:ascii="Consolas" w:cs="Consolas" w:eastAsia="Consolas" w:hAnsi="Consolas"/>
          <w:sz w:val="20"/>
          <w:szCs w:val="20"/>
        </w:rPr>
        <w:t xml:space="preserve">HttpClient</w:t>
      </w:r>
      <w:r>
        <w:rPr>
          <w:sz w:val="22"/>
          <w:szCs w:val="22"/>
        </w:rPr>
        <w:t xml:space="preserve"> directamente en un componente ni construirse con </w:t>
      </w:r>
      <w:r>
        <w:rPr>
          <w:rFonts w:ascii="Consolas" w:cs="Consolas" w:eastAsia="Consolas" w:hAnsi="Consolas"/>
          <w:sz w:val="20"/>
          <w:szCs w:val="20"/>
        </w:rPr>
        <w:t xml:space="preserve">new</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el typed client devolver un resultado explícito (</w:t>
      </w:r>
      <w:r>
        <w:rPr>
          <w:rFonts w:ascii="Consolas" w:cs="Consolas" w:eastAsia="Consolas" w:hAnsi="Consolas"/>
          <w:sz w:val="20"/>
          <w:szCs w:val="20"/>
        </w:rPr>
        <w:t xml:space="preserve">ApiResult&lt;T&gt;</w:t>
      </w:r>
      <w:r>
        <w:rPr>
          <w:sz w:val="22"/>
          <w:szCs w:val="22"/>
        </w:rPr>
        <w:t xml:space="preserve">) y no lanzar excepciones ante 400, 404 o 409. Esos códigos son respuestas esperadas del negocio.</w:t>
      </w:r>
    </w:p>
    <w:p>
      <w:pPr>
        <w:pStyle w:val="ListParagraph"/>
        <w:numPr>
          <w:ilvl w:val="0"/>
          <w:numId w:val="2"/>
        </w:numPr>
        <w:spacing w:after="60" w:line="276"/>
      </w:pPr>
      <w:r>
        <w:rPr>
          <w:b/>
          <w:bCs/>
          <w:sz w:val="22"/>
          <w:szCs w:val="22"/>
        </w:rPr>
        <w:t xml:space="preserve">DEBE: </w:t>
      </w:r>
      <w:r>
        <w:rPr>
          <w:sz w:val="22"/>
          <w:szCs w:val="22"/>
        </w:rPr>
        <w:t xml:space="preserve">deserializarse la respuesta de error como </w:t>
      </w:r>
      <w:r>
        <w:rPr>
          <w:rFonts w:ascii="Consolas" w:cs="Consolas" w:eastAsia="Consolas" w:hAnsi="Consolas"/>
          <w:sz w:val="20"/>
          <w:szCs w:val="20"/>
        </w:rPr>
        <w:t xml:space="preserve">ProblemDetails</w:t>
      </w:r>
      <w:r>
        <w:rPr>
          <w:sz w:val="22"/>
          <w:szCs w:val="22"/>
        </w:rPr>
        <w:t xml:space="preserve"> y mostrarse el mensaje del catálogo de errores, nunca un texto genérico.</w:t>
      </w:r>
    </w:p>
    <w:p>
      <w:pPr>
        <w:pStyle w:val="ListParagraph"/>
        <w:numPr>
          <w:ilvl w:val="0"/>
          <w:numId w:val="2"/>
        </w:numPr>
        <w:spacing w:after="60" w:line="276"/>
      </w:pPr>
      <w:r>
        <w:rPr>
          <w:b/>
          <w:bCs/>
          <w:sz w:val="22"/>
          <w:szCs w:val="22"/>
        </w:rPr>
        <w:t xml:space="preserve">DEBE: </w:t>
      </w:r>
      <w:r>
        <w:rPr>
          <w:sz w:val="22"/>
          <w:szCs w:val="22"/>
        </w:rPr>
        <w:t xml:space="preserve">propagarse </w:t>
      </w:r>
      <w:r>
        <w:rPr>
          <w:rFonts w:ascii="Consolas" w:cs="Consolas" w:eastAsia="Consolas" w:hAnsi="Consolas"/>
          <w:sz w:val="20"/>
          <w:szCs w:val="20"/>
        </w:rPr>
        <w:t xml:space="preserve">CancellationToken</w:t>
      </w:r>
      <w:r>
        <w:rPr>
          <w:sz w:val="22"/>
          <w:szCs w:val="22"/>
        </w:rPr>
        <w:t xml:space="preserve"> en toda llamada y cancelarse al destruir el componente. La navegación rápida entre páginas genera respuestas huérfanas.</w:t>
      </w:r>
    </w:p>
    <w:p>
      <w:pPr>
        <w:pStyle w:val="ListParagraph"/>
        <w:numPr>
          <w:ilvl w:val="0"/>
          <w:numId w:val="2"/>
        </w:numPr>
        <w:spacing w:after="60" w:line="276"/>
      </w:pPr>
      <w:r>
        <w:rPr>
          <w:b/>
          <w:bCs/>
          <w:sz w:val="22"/>
          <w:szCs w:val="22"/>
        </w:rPr>
        <w:t xml:space="preserve">DEBERÍA: </w:t>
      </w:r>
      <w:r>
        <w:rPr>
          <w:sz w:val="22"/>
          <w:szCs w:val="22"/>
        </w:rPr>
        <w:t xml:space="preserve">aplicarse reintentos con Polly solo sobre operaciones idempotentes (GET). Nunca reintentar un POST sin clave de idempotencia.</w:t>
      </w:r>
    </w:p>
    <w:p>
      <w:pPr>
        <w:pStyle w:val="Heading2"/>
        <w:spacing w:after="120" w:before="260"/>
      </w:pPr>
      <w:r>
        <w:t xml:space="preserve">8.5 Estado e inyección de dependencias</w:t>
      </w:r>
    </w:p>
    <w:p>
      <w:pPr>
        <w:spacing w:after="120" w:line="276"/>
        <w:jc w:val="both"/>
      </w:pPr>
      <w:r>
        <w:rPr>
          <w:b/>
          <w:bCs/>
          <w:sz w:val="22"/>
          <w:szCs w:val="22"/>
        </w:rPr>
        <w:t xml:space="preserve">Advertencia sobre ciclos de vida: </w:t>
      </w:r>
      <w:r>
        <w:rPr>
          <w:sz w:val="22"/>
          <w:szCs w:val="22"/>
        </w:rPr>
        <w:t xml:space="preserve">en WebAssembly no existe el concepto de request, por lo que </w:t>
      </w:r>
      <w:r>
        <w:rPr>
          <w:rFonts w:ascii="Consolas" w:cs="Consolas" w:eastAsia="Consolas" w:hAnsi="Consolas"/>
          <w:sz w:val="20"/>
          <w:szCs w:val="20"/>
        </w:rPr>
        <w:t xml:space="preserve">Scoped</w:t>
      </w:r>
      <w:r>
        <w:rPr>
          <w:sz w:val="22"/>
          <w:szCs w:val="22"/>
        </w:rPr>
        <w:t xml:space="preserve"> se comporta igual que </w:t>
      </w:r>
      <w:r>
        <w:rPr>
          <w:rFonts w:ascii="Consolas" w:cs="Consolas" w:eastAsia="Consolas" w:hAnsi="Consolas"/>
          <w:sz w:val="20"/>
          <w:szCs w:val="20"/>
        </w:rPr>
        <w:t xml:space="preserve">Singleton</w:t>
      </w:r>
      <w:r>
        <w:rPr>
          <w:sz w:val="22"/>
          <w:szCs w:val="22"/>
        </w:rPr>
        <w:t xml:space="preserve"> y vive mientras dure la pestaña del navegador. Un servicio con estado registrado como Scoped conserva datos del usuario anterior tras un cambio de sesión.</w:t>
      </w:r>
    </w:p>
    <w:p>
      <w:pPr>
        <w:pStyle w:val="ListParagraph"/>
        <w:numPr>
          <w:ilvl w:val="0"/>
          <w:numId w:val="2"/>
        </w:numPr>
        <w:spacing w:after="60" w:line="276"/>
      </w:pPr>
      <w:r>
        <w:rPr>
          <w:b/>
          <w:bCs/>
          <w:sz w:val="22"/>
          <w:szCs w:val="22"/>
        </w:rPr>
        <w:t xml:space="preserve">DEBE: </w:t>
      </w:r>
      <w:r>
        <w:rPr>
          <w:sz w:val="22"/>
          <w:szCs w:val="22"/>
        </w:rPr>
        <w:t xml:space="preserve">los servicios sin estado registrarse como </w:t>
      </w:r>
      <w:r>
        <w:rPr>
          <w:rFonts w:ascii="Consolas" w:cs="Consolas" w:eastAsia="Consolas" w:hAnsi="Consolas"/>
          <w:sz w:val="20"/>
          <w:szCs w:val="20"/>
        </w:rPr>
        <w:t xml:space="preserve">Transient</w:t>
      </w:r>
      <w:r>
        <w:rPr>
          <w:sz w:val="22"/>
          <w:szCs w:val="22"/>
        </w:rPr>
        <w:t xml:space="preserve">.</w:t>
      </w:r>
    </w:p>
    <w:p>
      <w:pPr>
        <w:pStyle w:val="ListParagraph"/>
        <w:numPr>
          <w:ilvl w:val="0"/>
          <w:numId w:val="2"/>
        </w:numPr>
        <w:spacing w:after="60" w:line="276"/>
      </w:pPr>
      <w:r>
        <w:rPr>
          <w:b/>
          <w:bCs/>
          <w:sz w:val="22"/>
          <w:szCs w:val="22"/>
        </w:rPr>
        <w:t xml:space="preserve">DEBE: </w:t>
      </w:r>
      <w:r>
        <w:rPr>
          <w:sz w:val="22"/>
          <w:szCs w:val="22"/>
        </w:rPr>
        <w:t xml:space="preserve">el estado compartido limitarse a contenedores por funcionalidad (</w:t>
      </w:r>
      <w:r>
        <w:rPr>
          <w:rFonts w:ascii="Consolas" w:cs="Consolas" w:eastAsia="Consolas" w:hAnsi="Consolas"/>
          <w:sz w:val="20"/>
          <w:szCs w:val="20"/>
        </w:rPr>
        <w:t xml:space="preserve">CarritoState</w:t>
      </w:r>
      <w:r>
        <w:rPr>
          <w:sz w:val="22"/>
          <w:szCs w:val="22"/>
        </w:rPr>
        <w:t xml:space="preserve">), que exponen un evento de cambio y se limpian explícitamente al cerrar sesión.</w:t>
      </w:r>
    </w:p>
    <w:p>
      <w:pPr>
        <w:pStyle w:val="ListParagraph"/>
        <w:numPr>
          <w:ilvl w:val="0"/>
          <w:numId w:val="2"/>
        </w:numPr>
        <w:spacing w:after="60" w:line="276"/>
      </w:pPr>
      <w:r>
        <w:rPr>
          <w:b/>
          <w:bCs/>
          <w:sz w:val="22"/>
          <w:szCs w:val="22"/>
        </w:rPr>
        <w:t xml:space="preserve">NO DEBE: </w:t>
      </w:r>
      <w:r>
        <w:rPr>
          <w:sz w:val="22"/>
          <w:szCs w:val="22"/>
        </w:rPr>
        <w:t xml:space="preserve">existir un contenedor de estado global que acumule datos de toda la aplicación.</w:t>
      </w:r>
    </w:p>
    <w:p>
      <w:pPr>
        <w:pStyle w:val="ListParagraph"/>
        <w:numPr>
          <w:ilvl w:val="0"/>
          <w:numId w:val="2"/>
        </w:numPr>
        <w:spacing w:after="60" w:line="276"/>
      </w:pPr>
      <w:r>
        <w:rPr>
          <w:b/>
          <w:bCs/>
          <w:sz w:val="22"/>
          <w:szCs w:val="22"/>
        </w:rPr>
        <w:t xml:space="preserve">DEBE: </w:t>
      </w:r>
      <w:r>
        <w:rPr>
          <w:sz w:val="22"/>
          <w:szCs w:val="22"/>
        </w:rPr>
        <w:t xml:space="preserve">si hay prerendering, usarse </w:t>
      </w:r>
      <w:r>
        <w:rPr>
          <w:rFonts w:ascii="Consolas" w:cs="Consolas" w:eastAsia="Consolas" w:hAnsi="Consolas"/>
          <w:sz w:val="20"/>
          <w:szCs w:val="20"/>
        </w:rPr>
        <w:t xml:space="preserve">PersistentComponentState</w:t>
      </w:r>
      <w:r>
        <w:rPr>
          <w:sz w:val="22"/>
          <w:szCs w:val="22"/>
        </w:rPr>
        <w:t xml:space="preserve"> para no ejecutar dos veces la misma carga de datos.</w:t>
      </w:r>
    </w:p>
    <w:p>
      <w:pPr>
        <w:pStyle w:val="Heading2"/>
        <w:spacing w:after="120" w:before="260"/>
      </w:pPr>
      <w:r>
        <w:t xml:space="preserve">8.6 Formularios y validación</w:t>
      </w:r>
    </w:p>
    <w:p>
      <w:pPr>
        <w:pStyle w:val="ListParagraph"/>
        <w:numPr>
          <w:ilvl w:val="0"/>
          <w:numId w:val="2"/>
        </w:numPr>
        <w:spacing w:after="60" w:line="276"/>
      </w:pPr>
      <w:r>
        <w:rPr>
          <w:b/>
          <w:bCs/>
          <w:sz w:val="22"/>
          <w:szCs w:val="22"/>
        </w:rPr>
        <w:t xml:space="preserve">DEBE: </w:t>
      </w:r>
      <w:r>
        <w:rPr>
          <w:sz w:val="22"/>
          <w:szCs w:val="22"/>
        </w:rPr>
        <w:t xml:space="preserve">usarse </w:t>
      </w:r>
      <w:r>
        <w:rPr>
          <w:rFonts w:ascii="Consolas" w:cs="Consolas" w:eastAsia="Consolas" w:hAnsi="Consolas"/>
          <w:sz w:val="20"/>
          <w:szCs w:val="20"/>
        </w:rPr>
        <w:t xml:space="preserve">EditForm</w:t>
      </w:r>
      <w:r>
        <w:rPr>
          <w:sz w:val="22"/>
          <w:szCs w:val="22"/>
        </w:rPr>
        <w:t xml:space="preserve"> con </w:t>
      </w:r>
      <w:r>
        <w:rPr>
          <w:rFonts w:ascii="Consolas" w:cs="Consolas" w:eastAsia="Consolas" w:hAnsi="Consolas"/>
          <w:sz w:val="20"/>
          <w:szCs w:val="20"/>
        </w:rPr>
        <w:t xml:space="preserve">EditContext</w:t>
      </w:r>
      <w:r>
        <w:rPr>
          <w:sz w:val="22"/>
          <w:szCs w:val="22"/>
        </w:rPr>
        <w:t xml:space="preserve"> y validadores definidos en </w:t>
      </w:r>
      <w:r>
        <w:rPr>
          <w:rFonts w:ascii="Consolas" w:cs="Consolas" w:eastAsia="Consolas" w:hAnsi="Consolas"/>
          <w:sz w:val="20"/>
          <w:szCs w:val="20"/>
        </w:rPr>
        <w:t xml:space="preserve">Shared</w:t>
      </w:r>
      <w:r>
        <w:rPr>
          <w:sz w:val="22"/>
          <w:szCs w:val="22"/>
        </w:rPr>
        <w:t xml:space="preserve">, de modo que la misma regla de formato aplique en cliente y servidor.</w:t>
      </w:r>
    </w:p>
    <w:p>
      <w:pPr>
        <w:pStyle w:val="ListParagraph"/>
        <w:numPr>
          <w:ilvl w:val="0"/>
          <w:numId w:val="2"/>
        </w:numPr>
        <w:spacing w:after="60" w:line="276"/>
      </w:pPr>
      <w:r>
        <w:rPr>
          <w:b/>
          <w:bCs/>
          <w:sz w:val="22"/>
          <w:szCs w:val="22"/>
        </w:rPr>
        <w:t xml:space="preserve">DEBE: </w:t>
      </w:r>
      <w:r>
        <w:rPr>
          <w:sz w:val="22"/>
          <w:szCs w:val="22"/>
        </w:rPr>
        <w:t xml:space="preserve">entenderse que la validación del cliente es solo experiencia de usuario. La validación autoritativa es la del API y nunca se omite.</w:t>
      </w:r>
    </w:p>
    <w:p>
      <w:pPr>
        <w:pStyle w:val="ListParagraph"/>
        <w:numPr>
          <w:ilvl w:val="0"/>
          <w:numId w:val="2"/>
        </w:numPr>
        <w:spacing w:after="60" w:line="276"/>
      </w:pPr>
      <w:r>
        <w:rPr>
          <w:b/>
          <w:bCs/>
          <w:sz w:val="22"/>
          <w:szCs w:val="22"/>
        </w:rPr>
        <w:t xml:space="preserve">DEBE: </w:t>
      </w:r>
      <w:r>
        <w:rPr>
          <w:sz w:val="22"/>
          <w:szCs w:val="22"/>
        </w:rPr>
        <w:t xml:space="preserve">deshabilitarse el botón de envío mientras la petición está en curso, para evitar envíos duplicados.</w:t>
      </w:r>
    </w:p>
    <w:p>
      <w:pPr>
        <w:pStyle w:val="ListParagraph"/>
        <w:numPr>
          <w:ilvl w:val="0"/>
          <w:numId w:val="2"/>
        </w:numPr>
        <w:spacing w:after="60" w:line="276"/>
      </w:pPr>
      <w:r>
        <w:rPr>
          <w:b/>
          <w:bCs/>
          <w:sz w:val="22"/>
          <w:szCs w:val="22"/>
        </w:rPr>
        <w:t xml:space="preserve">NO DEBE: </w:t>
      </w:r>
      <w:r>
        <w:rPr>
          <w:sz w:val="22"/>
          <w:szCs w:val="22"/>
        </w:rPr>
        <w:t xml:space="preserve">replicarse en el cliente reglas de negocio que dependen de datos que el cliente no posee (disponibilidad de stock, línea de crédito, correlativos).</w:t>
      </w:r>
    </w:p>
    <w:p>
      <w:pPr>
        <w:pStyle w:val="Heading2"/>
        <w:spacing w:after="120" w:before="260"/>
      </w:pPr>
      <w:r>
        <w:t xml:space="preserve">8.7 Seguridad</w:t>
      </w:r>
    </w:p>
    <w:p>
      <w:pPr>
        <w:pStyle w:val="ListParagraph"/>
        <w:numPr>
          <w:ilvl w:val="0"/>
          <w:numId w:val="2"/>
        </w:numPr>
        <w:spacing w:after="60" w:line="276"/>
      </w:pPr>
      <w:r>
        <w:rPr>
          <w:b/>
          <w:bCs/>
          <w:sz w:val="22"/>
          <w:szCs w:val="22"/>
        </w:rPr>
        <w:t xml:space="preserve">NO DEBE: </w:t>
      </w:r>
      <w:r>
        <w:rPr>
          <w:sz w:val="22"/>
          <w:szCs w:val="22"/>
        </w:rPr>
        <w:t xml:space="preserve">almacenarse en el proyecto Client ninguna cadena de conexión, clave de API, secreto de cliente ni credencial. Todo el ensamblado se descarga al navegador.</w:t>
      </w:r>
    </w:p>
    <w:p>
      <w:pPr>
        <w:pStyle w:val="ListParagraph"/>
        <w:numPr>
          <w:ilvl w:val="0"/>
          <w:numId w:val="2"/>
        </w:numPr>
        <w:spacing w:after="60" w:line="276"/>
      </w:pPr>
      <w:r>
        <w:rPr>
          <w:b/>
          <w:bCs/>
          <w:sz w:val="22"/>
          <w:szCs w:val="22"/>
        </w:rPr>
        <w:t xml:space="preserve">DEBE: </w:t>
      </w:r>
      <w:r>
        <w:rPr>
          <w:sz w:val="22"/>
          <w:szCs w:val="22"/>
        </w:rPr>
        <w:t xml:space="preserve">los tokens adjuntarse mediante un </w:t>
      </w:r>
      <w:r>
        <w:rPr>
          <w:rFonts w:ascii="Consolas" w:cs="Consolas" w:eastAsia="Consolas" w:hAnsi="Consolas"/>
          <w:sz w:val="20"/>
          <w:szCs w:val="20"/>
        </w:rPr>
        <w:t xml:space="preserve">DelegatingHandler</w:t>
      </w:r>
      <w:r>
        <w:rPr>
          <w:sz w:val="22"/>
          <w:szCs w:val="22"/>
        </w:rPr>
        <w:t xml:space="preserve"> de autorización, nunca escribiéndolos manualmente en cada llamada.</w:t>
      </w:r>
    </w:p>
    <w:p>
      <w:pPr>
        <w:pStyle w:val="ListParagraph"/>
        <w:numPr>
          <w:ilvl w:val="0"/>
          <w:numId w:val="2"/>
        </w:numPr>
        <w:spacing w:after="60" w:line="276"/>
      </w:pPr>
      <w:r>
        <w:rPr>
          <w:b/>
          <w:bCs/>
          <w:sz w:val="22"/>
          <w:szCs w:val="22"/>
        </w:rPr>
        <w:t xml:space="preserve">DEBE: </w:t>
      </w:r>
      <w:r>
        <w:rPr>
          <w:sz w:val="22"/>
          <w:szCs w:val="22"/>
        </w:rPr>
        <w:t xml:space="preserve">entenderse que </w:t>
      </w:r>
      <w:r>
        <w:rPr>
          <w:rFonts w:ascii="Consolas" w:cs="Consolas" w:eastAsia="Consolas" w:hAnsi="Consolas"/>
          <w:sz w:val="20"/>
          <w:szCs w:val="20"/>
        </w:rPr>
        <w:t xml:space="preserve">&lt;AuthorizeView&gt;</w:t>
      </w:r>
      <w:r>
        <w:rPr>
          <w:sz w:val="22"/>
          <w:szCs w:val="22"/>
        </w:rPr>
        <w:t xml:space="preserve"> y </w:t>
      </w:r>
      <w:r>
        <w:rPr>
          <w:rFonts w:ascii="Consolas" w:cs="Consolas" w:eastAsia="Consolas" w:hAnsi="Consolas"/>
          <w:sz w:val="20"/>
          <w:szCs w:val="20"/>
        </w:rPr>
        <w:t xml:space="preserve">[Authorize]</w:t>
      </w:r>
      <w:r>
        <w:rPr>
          <w:sz w:val="22"/>
          <w:szCs w:val="22"/>
        </w:rPr>
        <w:t xml:space="preserve"> en el cliente son solo presentación. La autorización real se valida en cada endpoint del API.</w:t>
      </w:r>
    </w:p>
    <w:p>
      <w:pPr>
        <w:pStyle w:val="ListParagraph"/>
        <w:numPr>
          <w:ilvl w:val="0"/>
          <w:numId w:val="2"/>
        </w:numPr>
        <w:spacing w:after="60" w:line="276"/>
      </w:pPr>
      <w:r>
        <w:rPr>
          <w:b/>
          <w:bCs/>
          <w:sz w:val="22"/>
          <w:szCs w:val="22"/>
        </w:rPr>
        <w:t xml:space="preserve">NO DEBE: </w:t>
      </w:r>
      <w:r>
        <w:rPr>
          <w:sz w:val="22"/>
          <w:szCs w:val="22"/>
        </w:rPr>
        <w:t xml:space="preserve">confiarse en identificadores o roles enviados por el cliente. El API los deriva del token.</w:t>
      </w:r>
    </w:p>
    <w:p>
      <w:pPr>
        <w:pStyle w:val="ListParagraph"/>
        <w:numPr>
          <w:ilvl w:val="0"/>
          <w:numId w:val="2"/>
        </w:numPr>
        <w:spacing w:after="60" w:line="276"/>
      </w:pPr>
      <w:r>
        <w:rPr>
          <w:b/>
          <w:bCs/>
          <w:sz w:val="22"/>
          <w:szCs w:val="22"/>
        </w:rPr>
        <w:t xml:space="preserve">DEBE: </w:t>
      </w:r>
      <w:r>
        <w:rPr>
          <w:sz w:val="22"/>
          <w:szCs w:val="22"/>
        </w:rPr>
        <w:t xml:space="preserve">configurarse CORS en el API con una lista explícita de orígenes permitidos.</w:t>
      </w:r>
    </w:p>
    <w:p>
      <w:pPr>
        <w:pStyle w:val="Heading2"/>
        <w:spacing w:after="120" w:before="260"/>
      </w:pPr>
      <w:r>
        <w:t xml:space="preserve">8.8 Rendimiento</w:t>
      </w:r>
    </w:p>
    <w:p>
      <w:pPr>
        <w:pStyle w:val="ListParagraph"/>
        <w:numPr>
          <w:ilvl w:val="0"/>
          <w:numId w:val="2"/>
        </w:numPr>
        <w:spacing w:after="60" w:line="276"/>
      </w:pPr>
      <w:r>
        <w:rPr>
          <w:b/>
          <w:bCs/>
          <w:sz w:val="22"/>
          <w:szCs w:val="22"/>
        </w:rPr>
        <w:t xml:space="preserve">DEBE: </w:t>
      </w:r>
      <w:r>
        <w:rPr>
          <w:sz w:val="22"/>
          <w:szCs w:val="22"/>
        </w:rPr>
        <w:t xml:space="preserve">usarse </w:t>
      </w:r>
      <w:r>
        <w:rPr>
          <w:rFonts w:ascii="Consolas" w:cs="Consolas" w:eastAsia="Consolas" w:hAnsi="Consolas"/>
          <w:sz w:val="20"/>
          <w:szCs w:val="20"/>
        </w:rPr>
        <w:t xml:space="preserve">&lt;Virtualize&gt;</w:t>
      </w:r>
      <w:r>
        <w:rPr>
          <w:sz w:val="22"/>
          <w:szCs w:val="22"/>
        </w:rPr>
        <w:t xml:space="preserve"> en toda lista que pueda superar las 100 filas.</w:t>
      </w:r>
    </w:p>
    <w:p>
      <w:pPr>
        <w:pStyle w:val="ListParagraph"/>
        <w:numPr>
          <w:ilvl w:val="0"/>
          <w:numId w:val="2"/>
        </w:numPr>
        <w:spacing w:after="60" w:line="276"/>
      </w:pPr>
      <w:r>
        <w:rPr>
          <w:b/>
          <w:bCs/>
          <w:sz w:val="22"/>
          <w:szCs w:val="22"/>
        </w:rPr>
        <w:t xml:space="preserve">DEBE: </w:t>
      </w:r>
      <w:r>
        <w:rPr>
          <w:sz w:val="22"/>
          <w:szCs w:val="22"/>
        </w:rPr>
        <w:t xml:space="preserve">la paginación resolverse en el servidor. Prohibido traer el conjunto completo y paginar en memoria del navegador.</w:t>
      </w:r>
    </w:p>
    <w:p>
      <w:pPr>
        <w:pStyle w:val="ListParagraph"/>
        <w:numPr>
          <w:ilvl w:val="0"/>
          <w:numId w:val="2"/>
        </w:numPr>
        <w:spacing w:after="60" w:line="276"/>
      </w:pPr>
      <w:r>
        <w:rPr>
          <w:b/>
          <w:bCs/>
          <w:sz w:val="22"/>
          <w:szCs w:val="22"/>
        </w:rPr>
        <w:t xml:space="preserve">DEBERÍA: </w:t>
      </w:r>
      <w:r>
        <w:rPr>
          <w:sz w:val="22"/>
          <w:szCs w:val="22"/>
        </w:rPr>
        <w:t xml:space="preserve">aplicarse carga diferida de ensamblados (</w:t>
      </w:r>
      <w:r>
        <w:rPr>
          <w:rFonts w:ascii="Consolas" w:cs="Consolas" w:eastAsia="Consolas" w:hAnsi="Consolas"/>
          <w:sz w:val="20"/>
          <w:szCs w:val="20"/>
        </w:rPr>
        <w:t xml:space="preserve">BlazorWebAssemblyLazyLoad</w:t>
      </w:r>
      <w:r>
        <w:rPr>
          <w:sz w:val="22"/>
          <w:szCs w:val="22"/>
        </w:rPr>
        <w:t xml:space="preserve">) para módulos que no usa la mayoría de usuarios.</w:t>
      </w:r>
    </w:p>
    <w:p>
      <w:pPr>
        <w:pStyle w:val="ListParagraph"/>
        <w:numPr>
          <w:ilvl w:val="0"/>
          <w:numId w:val="2"/>
        </w:numPr>
        <w:spacing w:after="60" w:line="276"/>
      </w:pPr>
      <w:r>
        <w:rPr>
          <w:b/>
          <w:bCs/>
          <w:sz w:val="22"/>
          <w:szCs w:val="22"/>
        </w:rPr>
        <w:t xml:space="preserve">DEBERÍA: </w:t>
      </w:r>
      <w:r>
        <w:rPr>
          <w:sz w:val="22"/>
          <w:szCs w:val="22"/>
        </w:rPr>
        <w:t xml:space="preserve">habilitarse compresión Brotli y trimming en publicación; AOT solo si un problema medido lo justifica, por su costo en tamaño de descarga.</w:t>
      </w:r>
    </w:p>
    <w:p>
      <w:pPr>
        <w:pStyle w:val="ListParagraph"/>
        <w:numPr>
          <w:ilvl w:val="0"/>
          <w:numId w:val="2"/>
        </w:numPr>
        <w:spacing w:after="60" w:line="276"/>
      </w:pPr>
      <w:r>
        <w:rPr>
          <w:b/>
          <w:bCs/>
          <w:sz w:val="22"/>
          <w:szCs w:val="22"/>
        </w:rPr>
        <w:t xml:space="preserve">DEBE: </w:t>
      </w:r>
      <w:r>
        <w:rPr>
          <w:sz w:val="22"/>
          <w:szCs w:val="22"/>
        </w:rPr>
        <w:t xml:space="preserve">mostrarse siempre un indicador de carga: el primer arranque de WebAssembly descarga el runtime.</w:t>
      </w:r>
    </w:p>
    <w:p>
      <w:pPr>
        <w:pStyle w:val="Heading2"/>
        <w:spacing w:after="120" w:before="260"/>
      </w:pPr>
      <w:r>
        <w:t xml:space="preserve">8.9 Pruebas</w:t>
      </w:r>
    </w:p>
    <w:p>
      <w:pPr>
        <w:pStyle w:val="ListParagraph"/>
        <w:numPr>
          <w:ilvl w:val="0"/>
          <w:numId w:val="2"/>
        </w:numPr>
        <w:spacing w:after="60" w:line="276"/>
      </w:pPr>
      <w:r>
        <w:rPr>
          <w:b/>
          <w:bCs/>
          <w:sz w:val="22"/>
          <w:szCs w:val="22"/>
        </w:rPr>
        <w:t xml:space="preserve">DEBE: </w:t>
      </w:r>
      <w:r>
        <w:rPr>
          <w:sz w:val="22"/>
          <w:szCs w:val="22"/>
        </w:rPr>
        <w:t xml:space="preserve">los componentes con lógica probarse con bUnit, con los typed clients sustituidos por dobles.</w:t>
      </w:r>
    </w:p>
    <w:p>
      <w:pPr>
        <w:pStyle w:val="ListParagraph"/>
        <w:numPr>
          <w:ilvl w:val="0"/>
          <w:numId w:val="2"/>
        </w:numPr>
        <w:spacing w:after="60" w:line="276"/>
      </w:pPr>
      <w:r>
        <w:rPr>
          <w:b/>
          <w:bCs/>
          <w:sz w:val="22"/>
          <w:szCs w:val="22"/>
        </w:rPr>
        <w:t xml:space="preserve">DEBE: </w:t>
      </w:r>
      <w:r>
        <w:rPr>
          <w:sz w:val="22"/>
          <w:szCs w:val="22"/>
        </w:rPr>
        <w:t xml:space="preserve">mantenerse el patrón de nombres </w:t>
      </w:r>
      <w:r>
        <w:rPr>
          <w:rFonts w:ascii="Consolas" w:cs="Consolas" w:eastAsia="Consolas" w:hAnsi="Consolas"/>
          <w:sz w:val="20"/>
          <w:szCs w:val="20"/>
        </w:rPr>
        <w:t xml:space="preserve">Metodo_DeberiaResultado_CuandoCondicion</w:t>
      </w:r>
      <w:r>
        <w:rPr>
          <w:sz w:val="22"/>
          <w:szCs w:val="22"/>
        </w:rPr>
        <w:t xml:space="preserve">.</w:t>
      </w:r>
    </w:p>
    <w:p>
      <w:pPr>
        <w:pStyle w:val="ListParagraph"/>
        <w:numPr>
          <w:ilvl w:val="0"/>
          <w:numId w:val="2"/>
        </w:numPr>
        <w:spacing w:after="60" w:line="276"/>
      </w:pPr>
      <w:r>
        <w:rPr>
          <w:b/>
          <w:bCs/>
          <w:sz w:val="22"/>
          <w:szCs w:val="22"/>
        </w:rPr>
        <w:t xml:space="preserve">NO DEBE: </w:t>
      </w:r>
      <w:r>
        <w:rPr>
          <w:sz w:val="22"/>
          <w:szCs w:val="22"/>
        </w:rPr>
        <w:t xml:space="preserve">una prueba de componente hacer llamadas HTTP reales.</w:t>
      </w:r>
    </w:p>
    <w:p>
      <w:r>
        <w:br w:type="page"/>
      </w:r>
    </w:p>
    <w:p>
      <w:pPr>
        <w:pStyle w:val="Heading1"/>
        <w:spacing w:after="160" w:before="360"/>
      </w:pPr>
      <w:r>
        <w:t xml:space="preserve">9. Manejo de errores y validación</w:t>
      </w:r>
    </w:p>
    <w:p>
      <w:pPr>
        <w:pStyle w:val="ListParagraph"/>
        <w:numPr>
          <w:ilvl w:val="0"/>
          <w:numId w:val="2"/>
        </w:numPr>
        <w:spacing w:after="60" w:line="276"/>
      </w:pPr>
      <w:r>
        <w:rPr>
          <w:b/>
          <w:bCs/>
          <w:sz w:val="22"/>
          <w:szCs w:val="22"/>
        </w:rPr>
        <w:t xml:space="preserve">DEBE: </w:t>
      </w:r>
      <w:r>
        <w:rPr>
          <w:sz w:val="22"/>
          <w:szCs w:val="22"/>
        </w:rPr>
        <w:t xml:space="preserve">la validación de formato y obligatoriedad hacerse con FluentValidation en un pipeline behavior de MediatR, antes del handler.</w:t>
      </w:r>
    </w:p>
    <w:p>
      <w:pPr>
        <w:pStyle w:val="ListParagraph"/>
        <w:numPr>
          <w:ilvl w:val="0"/>
          <w:numId w:val="2"/>
        </w:numPr>
        <w:spacing w:after="60" w:line="276"/>
      </w:pPr>
      <w:r>
        <w:rPr>
          <w:b/>
          <w:bCs/>
          <w:sz w:val="22"/>
          <w:szCs w:val="22"/>
        </w:rPr>
        <w:t xml:space="preserve">DEBE: </w:t>
      </w:r>
      <w:r>
        <w:rPr>
          <w:sz w:val="22"/>
          <w:szCs w:val="22"/>
        </w:rPr>
        <w:t xml:space="preserve">las reglas de negocio validarse en el dominio, no en el validador.</w:t>
      </w:r>
    </w:p>
    <w:p>
      <w:pPr>
        <w:pStyle w:val="ListParagraph"/>
        <w:numPr>
          <w:ilvl w:val="0"/>
          <w:numId w:val="2"/>
        </w:numPr>
        <w:spacing w:after="60" w:line="276"/>
      </w:pPr>
      <w:r>
        <w:rPr>
          <w:b/>
          <w:bCs/>
          <w:sz w:val="22"/>
          <w:szCs w:val="22"/>
        </w:rPr>
        <w:t xml:space="preserve">DEBE: </w:t>
      </w:r>
      <w:r>
        <w:rPr>
          <w:sz w:val="22"/>
          <w:szCs w:val="22"/>
        </w:rPr>
        <w:t xml:space="preserve">existir un middleware global de excepciones que traduzca a ProblemDetails (RFC 7807).</w:t>
      </w:r>
    </w:p>
    <w:p>
      <w:pPr>
        <w:pStyle w:val="ListParagraph"/>
        <w:numPr>
          <w:ilvl w:val="0"/>
          <w:numId w:val="2"/>
        </w:numPr>
        <w:spacing w:after="60" w:line="276"/>
      </w:pPr>
      <w:r>
        <w:rPr>
          <w:b/>
          <w:bCs/>
          <w:sz w:val="22"/>
          <w:szCs w:val="22"/>
        </w:rPr>
        <w:t xml:space="preserve">NO DEBE: </w:t>
      </w:r>
      <w:r>
        <w:rPr>
          <w:sz w:val="22"/>
          <w:szCs w:val="22"/>
        </w:rPr>
        <w:t xml:space="preserve">devolverse al cliente el stack trace, el mensaje de Oracle ni el nombre de tablas o SPs.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400"/>
        <w:gridCol w:w="6600"/>
      </w:tblGrid>
      <w:tr>
        <w:tc>
          <w:tcPr>
            <w:tcW w:type="dxa" w:w="2400"/>
            <w:gridSpan w:val="1"/>
            <w:shd w:fill="DCE6F1" w:val="clear"/>
            <w:tcMar>
              <w:top w:type="dxa" w:w="60"/>
              <w:left w:type="dxa" w:w="100"/>
              <w:bottom w:type="dxa" w:w="60"/>
              <w:right w:type="dxa" w:w="100"/>
            </w:tcMar>
          </w:tcPr>
          <w:p>
            <w:pPr>
              <w:spacing w:after="0"/>
            </w:pPr>
            <w:r>
              <w:rPr>
                <w:b/>
                <w:bCs/>
                <w:sz w:val="19"/>
                <w:szCs w:val="19"/>
              </w:rPr>
              <w:t xml:space="preserve">Situación</w:t>
            </w:r>
          </w:p>
        </w:tc>
        <w:tc>
          <w:tcPr>
            <w:tcW w:type="dxa" w:w="6600"/>
            <w:gridSpan w:val="1"/>
            <w:shd w:fill="DCE6F1" w:val="clear"/>
            <w:tcMar>
              <w:top w:type="dxa" w:w="60"/>
              <w:left w:type="dxa" w:w="100"/>
              <w:bottom w:type="dxa" w:w="60"/>
              <w:right w:type="dxa" w:w="100"/>
            </w:tcMar>
          </w:tcPr>
          <w:p>
            <w:pPr>
              <w:spacing w:after="0"/>
            </w:pPr>
            <w:r>
              <w:rPr>
                <w:b/>
                <w:bCs/>
                <w:sz w:val="19"/>
                <w:szCs w:val="19"/>
              </w:rPr>
              <w:t xml:space="preserve">Respuesta</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Validación fallida</w:t>
            </w:r>
          </w:p>
        </w:tc>
        <w:tc>
          <w:tcPr>
            <w:tcW w:type="dxa" w:w="6600"/>
            <w:gridSpan w:val="1"/>
            <w:tcMar>
              <w:top w:type="dxa" w:w="60"/>
              <w:left w:type="dxa" w:w="100"/>
              <w:bottom w:type="dxa" w:w="60"/>
              <w:right w:type="dxa" w:w="100"/>
            </w:tcMar>
          </w:tcPr>
          <w:p>
            <w:pPr>
              <w:spacing w:after="0"/>
            </w:pPr>
            <w:r>
              <w:rPr>
                <w:b w:val="false"/>
                <w:bCs w:val="false"/>
                <w:sz w:val="19"/>
                <w:szCs w:val="19"/>
              </w:rPr>
              <w:t xml:space="preserve">400 Bad Request con la lista de errores por campo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No autenticado</w:t>
            </w:r>
          </w:p>
        </w:tc>
        <w:tc>
          <w:tcPr>
            <w:tcW w:type="dxa" w:w="6600"/>
            <w:gridSpan w:val="1"/>
            <w:tcMar>
              <w:top w:type="dxa" w:w="60"/>
              <w:left w:type="dxa" w:w="100"/>
              <w:bottom w:type="dxa" w:w="60"/>
              <w:right w:type="dxa" w:w="100"/>
            </w:tcMar>
          </w:tcPr>
          <w:p>
            <w:pPr>
              <w:spacing w:after="0"/>
            </w:pPr>
            <w:r>
              <w:rPr>
                <w:b w:val="false"/>
                <w:bCs w:val="false"/>
                <w:sz w:val="19"/>
                <w:szCs w:val="19"/>
              </w:rPr>
              <w:t xml:space="preserve">401 Unauthorized</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Sin permisos</w:t>
            </w:r>
          </w:p>
        </w:tc>
        <w:tc>
          <w:tcPr>
            <w:tcW w:type="dxa" w:w="6600"/>
            <w:gridSpan w:val="1"/>
            <w:tcMar>
              <w:top w:type="dxa" w:w="60"/>
              <w:left w:type="dxa" w:w="100"/>
              <w:bottom w:type="dxa" w:w="60"/>
              <w:right w:type="dxa" w:w="100"/>
            </w:tcMar>
          </w:tcPr>
          <w:p>
            <w:pPr>
              <w:spacing w:after="0"/>
            </w:pPr>
            <w:r>
              <w:rPr>
                <w:b w:val="false"/>
                <w:bCs w:val="false"/>
                <w:sz w:val="19"/>
                <w:szCs w:val="19"/>
              </w:rPr>
              <w:t xml:space="preserve">403 Forbidden</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Recurso inexistente</w:t>
            </w:r>
          </w:p>
        </w:tc>
        <w:tc>
          <w:tcPr>
            <w:tcW w:type="dxa" w:w="6600"/>
            <w:gridSpan w:val="1"/>
            <w:tcMar>
              <w:top w:type="dxa" w:w="60"/>
              <w:left w:type="dxa" w:w="100"/>
              <w:bottom w:type="dxa" w:w="60"/>
              <w:right w:type="dxa" w:w="100"/>
            </w:tcMar>
          </w:tcPr>
          <w:p>
            <w:pPr>
              <w:spacing w:after="0"/>
            </w:pPr>
            <w:r>
              <w:rPr>
                <w:b w:val="false"/>
                <w:bCs w:val="false"/>
                <w:sz w:val="19"/>
                <w:szCs w:val="19"/>
              </w:rPr>
              <w:t xml:space="preserve">404 Not Found</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Regla de negocio violada</w:t>
            </w:r>
          </w:p>
        </w:tc>
        <w:tc>
          <w:tcPr>
            <w:tcW w:type="dxa" w:w="6600"/>
            <w:gridSpan w:val="1"/>
            <w:tcMar>
              <w:top w:type="dxa" w:w="60"/>
              <w:left w:type="dxa" w:w="100"/>
              <w:bottom w:type="dxa" w:w="60"/>
              <w:right w:type="dxa" w:w="100"/>
            </w:tcMar>
          </w:tcPr>
          <w:p>
            <w:pPr>
              <w:spacing w:after="0"/>
            </w:pPr>
            <w:r>
              <w:rPr>
                <w:b w:val="false"/>
                <w:bCs w:val="false"/>
                <w:sz w:val="19"/>
                <w:szCs w:val="19"/>
              </w:rPr>
              <w:t xml:space="preserve">409 Conflict o 422 Unprocessable Entity, con código de error del catálogo</w:t>
            </w:r>
          </w:p>
        </w:tc>
      </w:tr>
      <w:tr>
        <w:tc>
          <w:tcPr>
            <w:tcW w:type="dxa" w:w="2400"/>
            <w:gridSpan w:val="1"/>
            <w:tcMar>
              <w:top w:type="dxa" w:w="60"/>
              <w:left w:type="dxa" w:w="100"/>
              <w:bottom w:type="dxa" w:w="60"/>
              <w:right w:type="dxa" w:w="100"/>
            </w:tcMar>
          </w:tcPr>
          <w:p>
            <w:pPr>
              <w:spacing w:after="0"/>
            </w:pPr>
            <w:r>
              <w:rPr>
                <w:b w:val="false"/>
                <w:bCs w:val="false"/>
                <w:sz w:val="19"/>
                <w:szCs w:val="19"/>
              </w:rPr>
              <w:t xml:space="preserve">Error técnico</w:t>
            </w:r>
          </w:p>
        </w:tc>
        <w:tc>
          <w:tcPr>
            <w:tcW w:type="dxa" w:w="6600"/>
            <w:gridSpan w:val="1"/>
            <w:tcMar>
              <w:top w:type="dxa" w:w="60"/>
              <w:left w:type="dxa" w:w="100"/>
              <w:bottom w:type="dxa" w:w="60"/>
              <w:right w:type="dxa" w:w="100"/>
            </w:tcMar>
          </w:tcPr>
          <w:p>
            <w:pPr>
              <w:spacing w:after="0"/>
            </w:pPr>
            <w:r>
              <w:rPr>
                <w:b w:val="false"/>
                <w:bCs w:val="false"/>
                <w:sz w:val="19"/>
                <w:szCs w:val="19"/>
              </w:rPr>
              <w:t xml:space="preserve">500 con identificador de correlación; el detalle solo va al log</w:t>
            </w:r>
          </w:p>
        </w:tc>
      </w:tr>
    </w:tbl>
    <w:p>
      <w:pPr>
        <w:spacing w:after="120"/>
      </w:pPr>
    </w:p>
    <w:p>
      <w:pPr>
        <w:pStyle w:val="Heading1"/>
        <w:spacing w:after="160" w:before="360"/>
      </w:pPr>
      <w:r>
        <w:t xml:space="preserve">10. Pruebas</w:t>
      </w:r>
    </w:p>
    <w:p>
      <w:pPr>
        <w:pStyle w:val="ListParagraph"/>
        <w:numPr>
          <w:ilvl w:val="0"/>
          <w:numId w:val="2"/>
        </w:numPr>
        <w:spacing w:after="60" w:line="276"/>
      </w:pPr>
      <w:r>
        <w:rPr>
          <w:b/>
          <w:bCs/>
          <w:sz w:val="22"/>
          <w:szCs w:val="22"/>
        </w:rPr>
        <w:t xml:space="preserve">DEBE: </w:t>
      </w:r>
      <w:r>
        <w:rPr>
          <w:sz w:val="22"/>
          <w:szCs w:val="22"/>
        </w:rPr>
        <w:t xml:space="preserve">el dominio y los handlers tener pruebas unitarias. Cobertura mínima exigida en Domain y Application: 80 %.</w:t>
      </w:r>
    </w:p>
    <w:p>
      <w:pPr>
        <w:pStyle w:val="ListParagraph"/>
        <w:numPr>
          <w:ilvl w:val="0"/>
          <w:numId w:val="2"/>
        </w:numPr>
        <w:spacing w:after="60" w:line="276"/>
      </w:pPr>
      <w:r>
        <w:rPr>
          <w:b/>
          <w:bCs/>
          <w:sz w:val="22"/>
          <w:szCs w:val="22"/>
        </w:rPr>
        <w:t xml:space="preserve">DEBE: </w:t>
      </w:r>
      <w:r>
        <w:rPr>
          <w:sz w:val="22"/>
          <w:szCs w:val="22"/>
        </w:rPr>
        <w:t xml:space="preserve">los repositorios y stored procedures probarse con pruebas de integración contra una instancia real de Oracle (Testcontainers o esquema dedicado de QA).</w:t>
      </w:r>
    </w:p>
    <w:p>
      <w:pPr>
        <w:pStyle w:val="ListParagraph"/>
        <w:numPr>
          <w:ilvl w:val="0"/>
          <w:numId w:val="2"/>
        </w:numPr>
        <w:spacing w:after="60" w:line="276"/>
      </w:pPr>
      <w:r>
        <w:rPr>
          <w:b/>
          <w:bCs/>
          <w:sz w:val="22"/>
          <w:szCs w:val="22"/>
        </w:rPr>
        <w:t xml:space="preserve">DEBE: </w:t>
      </w:r>
      <w:r>
        <w:rPr>
          <w:sz w:val="22"/>
          <w:szCs w:val="22"/>
        </w:rPr>
        <w:t xml:space="preserve">nombrarse las pruebas con el patrón </w:t>
      </w:r>
      <w:r>
        <w:rPr>
          <w:rFonts w:ascii="Consolas" w:cs="Consolas" w:eastAsia="Consolas" w:hAnsi="Consolas"/>
          <w:sz w:val="20"/>
          <w:szCs w:val="20"/>
        </w:rPr>
        <w:t xml:space="preserve">Metodo_DeberiaResultado_CuandoCondicion</w:t>
      </w:r>
      <w:r>
        <w:rPr>
          <w:sz w:val="22"/>
          <w:szCs w:val="22"/>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[Fact]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public async Task Handle_DeberiaRetornarRucDuplicado_CuandoElRucYaExiste()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Arrange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_clienteRepository</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.ExisteRucAsync("20123456789", Arg.Any&lt;CancellationToken&gt;())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.Returns(true);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Act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var resultado = await _sut.Handle(comando, CancellationToken.None);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 Assert</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resultado.IsFailure.Should().BeTrue();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    resultado.Error.Should().Be(ClienteErrors.RucDuplicado);</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w:t>
      </w:r>
    </w:p>
    <w:p>
      <w:pPr>
        <w:pStyle w:val="ListParagraph"/>
        <w:numPr>
          <w:ilvl w:val="0"/>
          <w:numId w:val="2"/>
        </w:numPr>
        <w:spacing w:after="60" w:line="276"/>
      </w:pPr>
      <w:r>
        <w:rPr>
          <w:b/>
          <w:bCs/>
          <w:sz w:val="22"/>
          <w:szCs w:val="22"/>
        </w:rPr>
        <w:t xml:space="preserve">DEBE: </w:t>
      </w:r>
      <w:r>
        <w:rPr>
          <w:sz w:val="22"/>
          <w:szCs w:val="22"/>
        </w:rPr>
        <w:t xml:space="preserve">seguirse la estructura Arrange / Act / Assert con comentarios explícitos.</w:t>
      </w:r>
    </w:p>
    <w:p>
      <w:pPr>
        <w:pStyle w:val="ListParagraph"/>
        <w:numPr>
          <w:ilvl w:val="0"/>
          <w:numId w:val="2"/>
        </w:numPr>
        <w:spacing w:after="60" w:line="276"/>
      </w:pPr>
      <w:r>
        <w:rPr>
          <w:b/>
          <w:bCs/>
          <w:sz w:val="22"/>
          <w:szCs w:val="22"/>
        </w:rPr>
        <w:t xml:space="preserve">NO DEBE: </w:t>
      </w:r>
      <w:r>
        <w:rPr>
          <w:sz w:val="22"/>
          <w:szCs w:val="22"/>
        </w:rPr>
        <w:t xml:space="preserve">una prueba depender del orden de ejecución ni del estado dejado por otra.</w:t>
      </w:r>
    </w:p>
    <w:p>
      <w:pPr>
        <w:pStyle w:val="Heading1"/>
        <w:spacing w:after="160" w:before="360"/>
      </w:pPr>
      <w:r>
        <w:t xml:space="preserve">11. Control de versiones</w:t>
      </w:r>
    </w:p>
    <w:p>
      <w:pPr>
        <w:pStyle w:val="Heading2"/>
        <w:spacing w:after="120" w:before="260"/>
      </w:pPr>
      <w:r>
        <w:t xml:space="preserve">11.1 Ramas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2800"/>
        <w:gridCol w:w="6200"/>
      </w:tblGrid>
      <w:tr>
        <w:tc>
          <w:tcPr>
            <w:tcW w:type="dxa" w:w="2800"/>
            <w:gridSpan w:val="1"/>
            <w:shd w:fill="DCE6F1" w:val="clear"/>
            <w:tcMar>
              <w:top w:type="dxa" w:w="60"/>
              <w:left w:type="dxa" w:w="100"/>
              <w:bottom w:type="dxa" w:w="60"/>
              <w:right w:type="dxa" w:w="100"/>
            </w:tcMar>
          </w:tcPr>
          <w:p>
            <w:pPr>
              <w:spacing w:after="0"/>
            </w:pPr>
            <w:r>
              <w:rPr>
                <w:b/>
                <w:bCs/>
                <w:sz w:val="19"/>
                <w:szCs w:val="19"/>
              </w:rPr>
              <w:t xml:space="preserve">Rama</w:t>
            </w:r>
          </w:p>
        </w:tc>
        <w:tc>
          <w:tcPr>
            <w:tcW w:type="dxa" w:w="6200"/>
            <w:gridSpan w:val="1"/>
            <w:shd w:fill="DCE6F1" w:val="clear"/>
            <w:tcMar>
              <w:top w:type="dxa" w:w="60"/>
              <w:left w:type="dxa" w:w="100"/>
              <w:bottom w:type="dxa" w:w="60"/>
              <w:right w:type="dxa" w:w="100"/>
            </w:tcMar>
          </w:tcPr>
          <w:p>
            <w:pPr>
              <w:spacing w:after="0"/>
            </w:pPr>
            <w:r>
              <w:rPr>
                <w:b/>
                <w:bCs/>
                <w:sz w:val="19"/>
                <w:szCs w:val="19"/>
              </w:rPr>
              <w:t xml:space="preserve">Uso</w:t>
            </w:r>
          </w:p>
        </w:tc>
      </w:tr>
      <w:tr>
        <w:tc>
          <w:tcPr>
            <w:tcW w:type="dxa" w:w="2800"/>
            <w:tcMar>
              <w:top w:type="dxa" w:w="60"/>
              <w:left w:type="dxa" w:w="100"/>
              <w:bottom w:type="dxa" w:w="60"/>
              <w:right w:type="dxa" w:w="100"/>
            </w:tcMar>
          </w:tcPr>
          <w:p>
            <w:pPr>
              <w:spacing w:after="0"/>
            </w:pPr>
            <w:r>
              <w:rPr>
                <w:rFonts w:ascii="Consolas" w:cs="Consolas" w:eastAsia="Consolas" w:hAnsi="Consolas"/>
                <w:sz w:val="17"/>
                <w:szCs w:val="17"/>
              </w:rPr>
              <w:t xml:space="preserve">main</w:t>
            </w:r>
          </w:p>
        </w:tc>
        <w:tc>
          <w:tcPr>
            <w:tcW w:type="dxa" w:w="6200"/>
            <w:gridSpan w:val="1"/>
            <w:tcMar>
              <w:top w:type="dxa" w:w="60"/>
              <w:left w:type="dxa" w:w="100"/>
              <w:bottom w:type="dxa" w:w="60"/>
              <w:right w:type="dxa" w:w="100"/>
            </w:tcMar>
          </w:tcPr>
          <w:p>
            <w:pPr>
              <w:spacing w:after="0"/>
            </w:pPr>
            <w:r>
              <w:rPr>
                <w:b w:val="false"/>
                <w:bCs w:val="false"/>
                <w:sz w:val="19"/>
                <w:szCs w:val="19"/>
              </w:rPr>
              <w:t xml:space="preserve">Código en producción. Protegida, solo recibe merge por PR aprobado.</w:t>
            </w:r>
          </w:p>
        </w:tc>
      </w:tr>
      <w:tr>
        <w:tc>
          <w:tcPr>
            <w:tcW w:type="dxa" w:w="2800"/>
            <w:tcMar>
              <w:top w:type="dxa" w:w="60"/>
              <w:left w:type="dxa" w:w="100"/>
              <w:bottom w:type="dxa" w:w="60"/>
              <w:right w:type="dxa" w:w="100"/>
            </w:tcMar>
          </w:tcPr>
          <w:p>
            <w:pPr>
              <w:spacing w:after="0"/>
            </w:pPr>
            <w:r>
              <w:rPr>
                <w:rFonts w:ascii="Consolas" w:cs="Consolas" w:eastAsia="Consolas" w:hAnsi="Consolas"/>
                <w:sz w:val="17"/>
                <w:szCs w:val="17"/>
              </w:rPr>
              <w:t xml:space="preserve">develop</w:t>
            </w:r>
          </w:p>
        </w:tc>
        <w:tc>
          <w:tcPr>
            <w:tcW w:type="dxa" w:w="6200"/>
            <w:gridSpan w:val="1"/>
            <w:tcMar>
              <w:top w:type="dxa" w:w="60"/>
              <w:left w:type="dxa" w:w="100"/>
              <w:bottom w:type="dxa" w:w="60"/>
              <w:right w:type="dxa" w:w="100"/>
            </w:tcMar>
          </w:tcPr>
          <w:p>
            <w:pPr>
              <w:spacing w:after="0"/>
            </w:pPr>
            <w:r>
              <w:rPr>
                <w:b w:val="false"/>
                <w:bCs w:val="false"/>
                <w:sz w:val="19"/>
                <w:szCs w:val="19"/>
              </w:rPr>
              <w:t xml:space="preserve">Integración continua de features.</w:t>
            </w:r>
          </w:p>
        </w:tc>
      </w:tr>
      <w:tr>
        <w:tc>
          <w:tcPr>
            <w:tcW w:type="dxa" w:w="2800"/>
            <w:tcMar>
              <w:top w:type="dxa" w:w="60"/>
              <w:left w:type="dxa" w:w="100"/>
              <w:bottom w:type="dxa" w:w="60"/>
              <w:right w:type="dxa" w:w="100"/>
            </w:tcMar>
          </w:tcPr>
          <w:p>
            <w:pPr>
              <w:spacing w:after="0"/>
            </w:pPr>
            <w:r>
              <w:rPr>
                <w:rFonts w:ascii="Consolas" w:cs="Consolas" w:eastAsia="Consolas" w:hAnsi="Consolas"/>
                <w:sz w:val="17"/>
                <w:szCs w:val="17"/>
              </w:rPr>
              <w:t xml:space="preserve">feature/&lt;ticket&gt;-&lt;desc&gt;</w:t>
            </w:r>
          </w:p>
        </w:tc>
        <w:tc>
          <w:tcPr>
            <w:tcW w:type="dxa" w:w="6200"/>
            <w:gridSpan w:val="1"/>
            <w:tcMar>
              <w:top w:type="dxa" w:w="60"/>
              <w:left w:type="dxa" w:w="100"/>
              <w:bottom w:type="dxa" w:w="60"/>
              <w:right w:type="dxa" w:w="100"/>
            </w:tcMar>
          </w:tcPr>
          <w:p>
            <w:pPr>
              <w:spacing w:after="0"/>
            </w:pPr>
            <w:r>
              <w:rPr>
                <w:b w:val="false"/>
                <w:bCs w:val="false"/>
                <w:sz w:val="19"/>
                <w:szCs w:val="19"/>
              </w:rPr>
              <w:t xml:space="preserve">feature/ABC-123-registro-cliente</w:t>
            </w:r>
          </w:p>
        </w:tc>
      </w:tr>
      <w:tr>
        <w:tc>
          <w:tcPr>
            <w:tcW w:type="dxa" w:w="2800"/>
            <w:tcMar>
              <w:top w:type="dxa" w:w="60"/>
              <w:left w:type="dxa" w:w="100"/>
              <w:bottom w:type="dxa" w:w="60"/>
              <w:right w:type="dxa" w:w="100"/>
            </w:tcMar>
          </w:tcPr>
          <w:p>
            <w:pPr>
              <w:spacing w:after="0"/>
            </w:pPr>
            <w:r>
              <w:rPr>
                <w:rFonts w:ascii="Consolas" w:cs="Consolas" w:eastAsia="Consolas" w:hAnsi="Consolas"/>
                <w:sz w:val="17"/>
                <w:szCs w:val="17"/>
              </w:rPr>
              <w:t xml:space="preserve">bugfix/&lt;ticket&gt;-&lt;desc&gt;</w:t>
            </w:r>
          </w:p>
        </w:tc>
        <w:tc>
          <w:tcPr>
            <w:tcW w:type="dxa" w:w="6200"/>
            <w:gridSpan w:val="1"/>
            <w:tcMar>
              <w:top w:type="dxa" w:w="60"/>
              <w:left w:type="dxa" w:w="100"/>
              <w:bottom w:type="dxa" w:w="60"/>
              <w:right w:type="dxa" w:w="100"/>
            </w:tcMar>
          </w:tcPr>
          <w:p>
            <w:pPr>
              <w:spacing w:after="0"/>
            </w:pPr>
            <w:r>
              <w:rPr>
                <w:b w:val="false"/>
                <w:bCs w:val="false"/>
                <w:sz w:val="19"/>
                <w:szCs w:val="19"/>
              </w:rPr>
              <w:t xml:space="preserve">bugfix/ABC-145-calculo-igv</w:t>
            </w:r>
          </w:p>
        </w:tc>
      </w:tr>
      <w:tr>
        <w:tc>
          <w:tcPr>
            <w:tcW w:type="dxa" w:w="2800"/>
            <w:tcMar>
              <w:top w:type="dxa" w:w="60"/>
              <w:left w:type="dxa" w:w="100"/>
              <w:bottom w:type="dxa" w:w="60"/>
              <w:right w:type="dxa" w:w="100"/>
            </w:tcMar>
          </w:tcPr>
          <w:p>
            <w:pPr>
              <w:spacing w:after="0"/>
            </w:pPr>
            <w:r>
              <w:rPr>
                <w:rFonts w:ascii="Consolas" w:cs="Consolas" w:eastAsia="Consolas" w:hAnsi="Consolas"/>
                <w:sz w:val="17"/>
                <w:szCs w:val="17"/>
              </w:rPr>
              <w:t xml:space="preserve">hotfix/&lt;ticket&gt;-&lt;desc&gt;</w:t>
            </w:r>
          </w:p>
        </w:tc>
        <w:tc>
          <w:tcPr>
            <w:tcW w:type="dxa" w:w="6200"/>
            <w:gridSpan w:val="1"/>
            <w:tcMar>
              <w:top w:type="dxa" w:w="60"/>
              <w:left w:type="dxa" w:w="100"/>
              <w:bottom w:type="dxa" w:w="60"/>
              <w:right w:type="dxa" w:w="100"/>
            </w:tcMar>
          </w:tcPr>
          <w:p>
            <w:pPr>
              <w:spacing w:after="0"/>
            </w:pPr>
            <w:r>
              <w:rPr>
                <w:b w:val="false"/>
                <w:bCs w:val="false"/>
                <w:sz w:val="19"/>
                <w:szCs w:val="19"/>
              </w:rPr>
              <w:t xml:space="preserve">Corrección urgente sobre main.</w:t>
            </w:r>
          </w:p>
        </w:tc>
      </w:tr>
    </w:tbl>
    <w:p>
      <w:pPr>
        <w:spacing w:after="120"/>
      </w:pPr>
    </w:p>
    <w:p>
      <w:pPr>
        <w:pStyle w:val="Heading2"/>
        <w:spacing w:after="120" w:before="260"/>
      </w:pPr>
      <w:r>
        <w:t xml:space="preserve">11.2 Commits</w:t>
      </w:r>
    </w:p>
    <w:p>
      <w:pPr>
        <w:spacing w:after="120" w:line="276"/>
        <w:jc w:val="both"/>
      </w:pPr>
      <w:r>
        <w:rPr>
          <w:sz w:val="22"/>
          <w:szCs w:val="22"/>
        </w:rPr>
        <w:t xml:space="preserve">Se usa Conventional Commits: </w:t>
      </w:r>
      <w:r>
        <w:rPr>
          <w:rFonts w:ascii="Consolas" w:cs="Consolas" w:eastAsia="Consolas" w:hAnsi="Consolas"/>
          <w:sz w:val="20"/>
          <w:szCs w:val="20"/>
        </w:rPr>
        <w:t xml:space="preserve">&lt;tipo&gt;(&lt;alcance&gt;): &lt;descripción en imperativo&gt;</w:t>
      </w:r>
      <w:r>
        <w:rPr>
          <w:sz w:val="22"/>
          <w:szCs w:val="22"/>
        </w:rPr>
        <w:t xml:space="preserve">.</w:t>
      </w:r>
    </w:p>
    <w:p>
      <w:pPr>
        <w:pBdr>
          <w:left w:val="single" w:color="1F4E79" w:sz="12" w:space="6"/>
        </w:pBdr>
        <w:shd w:fill="F2F2F2" w:val="clear"/>
        <w:spacing w:after="0" w:line="240"/>
        <w:ind w:left="200" w:right="200"/>
      </w:pPr>
      <w:r>
        <w:rPr>
          <w:rFonts w:ascii="Consolas" w:cs="Consolas" w:eastAsia="Consolas" w:hAnsi="Consolas"/>
          <w:sz w:val="18"/>
          <w:szCs w:val="18"/>
        </w:rPr>
        <w:t xml:space="preserve">feat(clientes): agregar validacion de RUC duplicado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fix(pedidos): corregir calculo de IGV en notas de credito</w:t>
      </w:r>
    </w:p>
    <w:p>
      <w:pPr>
        <w:pBdr>
          <w:left w:val="single" w:color="1F4E79" w:sz="12" w:space="6"/>
        </w:pBdr>
        <w:shd w:fill="F2F2F2" w:val="clear"/>
        <w:spacing w:after="0" w:line="240"/>
        <w:ind w:left="200" w:right="200"/>
      </w:pPr>
      <w:r>
        <w:rPr>
          <w:rFonts w:ascii="Consolas" w:cs="Consolas" w:eastAsia="Consolas" w:hAnsi="Consolas"/>
          <w:sz w:val="18"/>
          <w:szCs w:val="18"/>
        </w:rPr>
        <w:t xml:space="preserve">refactor(infra): extraer llamadas a PKG_CLIENTE a clase dedicada</w:t>
      </w:r>
    </w:p>
    <w:p>
      <w:pPr>
        <w:pBdr>
          <w:left w:val="single" w:color="1F4E79" w:sz="12" w:space="6"/>
        </w:pBdr>
        <w:shd w:fill="F2F2F2" w:val="clear"/>
        <w:spacing w:after="160" w:line="240"/>
        <w:ind w:left="200" w:right="200"/>
      </w:pPr>
      <w:r>
        <w:rPr>
          <w:rFonts w:ascii="Consolas" w:cs="Consolas" w:eastAsia="Consolas" w:hAnsi="Consolas"/>
          <w:sz w:val="18"/>
          <w:szCs w:val="18"/>
        </w:rPr>
        <w:t xml:space="preserve">chore(db): agregar script V012 para limite de credito</w:t>
      </w:r>
    </w:p>
    <w:p>
      <w:pPr>
        <w:pStyle w:val="ListParagraph"/>
        <w:numPr>
          <w:ilvl w:val="0"/>
          <w:numId w:val="2"/>
        </w:numPr>
        <w:spacing w:after="60" w:line="276"/>
      </w:pPr>
      <w:r>
        <w:rPr>
          <w:sz w:val="22"/>
          <w:szCs w:val="22"/>
        </w:rPr>
        <w:t xml:space="preserve">Tipos permitidos: feat, fix, refactor, perf, test, docs, chore, build, ci.</w:t>
      </w:r>
    </w:p>
    <w:p>
      <w:pPr>
        <w:pStyle w:val="ListParagraph"/>
        <w:numPr>
          <w:ilvl w:val="0"/>
          <w:numId w:val="2"/>
        </w:numPr>
        <w:spacing w:after="60" w:line="276"/>
      </w:pPr>
      <w:r>
        <w:rPr>
          <w:b/>
          <w:bCs/>
          <w:sz w:val="22"/>
          <w:szCs w:val="22"/>
        </w:rPr>
        <w:t xml:space="preserve">NO DEBE: </w:t>
      </w:r>
      <w:r>
        <w:rPr>
          <w:sz w:val="22"/>
          <w:szCs w:val="22"/>
        </w:rPr>
        <w:t xml:space="preserve">hacerse push directo a main o develop, ni commitear cadenas de conexión, credenciales o archivos de configuración local.</w:t>
      </w:r>
    </w:p>
    <w:p>
      <w:r>
        <w:br w:type="page"/>
      </w:r>
    </w:p>
    <w:p>
      <w:pPr>
        <w:pStyle w:val="Heading1"/>
        <w:spacing w:after="160" w:before="360"/>
      </w:pPr>
      <w:r>
        <w:t xml:space="preserve">12. Checklist de Code Review</w:t>
      </w:r>
    </w:p>
    <w:p>
      <w:pPr>
        <w:spacing w:after="120" w:line="276"/>
        <w:jc w:val="both"/>
      </w:pPr>
      <w:r>
        <w:rPr>
          <w:sz w:val="22"/>
          <w:szCs w:val="22"/>
        </w:rPr>
        <w:t xml:space="preserve">El revisor verifica estos puntos antes de aprobar. Un PR que falle cualquiera de ellos se devuelve con comentarios.</w:t>
      </w:r>
    </w:p>
    <w:p>
      <w:pPr>
        <w:pStyle w:val="Heading2"/>
        <w:spacing w:after="120" w:before="260"/>
      </w:pPr>
      <w:r>
        <w:t xml:space="preserve">Arquitectura</w:t>
      </w:r>
    </w:p>
    <w:p>
      <w:pPr>
        <w:pStyle w:val="ListParagraph"/>
        <w:numPr>
          <w:ilvl w:val="0"/>
          <w:numId w:val="2"/>
        </w:numPr>
        <w:spacing w:after="60" w:line="276"/>
      </w:pPr>
      <w:r>
        <w:rPr>
          <w:sz w:val="22"/>
          <w:szCs w:val="22"/>
        </w:rPr>
        <w:t xml:space="preserve">Ninguna capa referencia hacia afuera; Domain sigue sin dependencias.</w:t>
      </w:r>
    </w:p>
    <w:p>
      <w:pPr>
        <w:pStyle w:val="ListParagraph"/>
        <w:numPr>
          <w:ilvl w:val="0"/>
          <w:numId w:val="2"/>
        </w:numPr>
        <w:spacing w:after="60" w:line="276"/>
      </w:pPr>
      <w:r>
        <w:rPr>
          <w:sz w:val="22"/>
          <w:szCs w:val="22"/>
        </w:rPr>
        <w:t xml:space="preserve">Un handler por caso de uso; no hay lógica de negocio en el controller.</w:t>
      </w:r>
    </w:p>
    <w:p>
      <w:pPr>
        <w:pStyle w:val="ListParagraph"/>
        <w:numPr>
          <w:ilvl w:val="0"/>
          <w:numId w:val="2"/>
        </w:numPr>
        <w:spacing w:after="60" w:line="276"/>
      </w:pPr>
      <w:r>
        <w:rPr>
          <w:sz w:val="22"/>
          <w:szCs w:val="22"/>
        </w:rPr>
        <w:t xml:space="preserve">No hay tipos de EF Core ni de Oracle fuera de Infrastructure.</w:t>
      </w:r>
    </w:p>
    <w:p>
      <w:pPr>
        <w:pStyle w:val="ListParagraph"/>
        <w:numPr>
          <w:ilvl w:val="0"/>
          <w:numId w:val="2"/>
        </w:numPr>
        <w:spacing w:after="60" w:line="276"/>
      </w:pPr>
      <w:r>
        <w:rPr>
          <w:sz w:val="22"/>
          <w:szCs w:val="22"/>
        </w:rPr>
        <w:t xml:space="preserve">Las entidades de dominio no se exponen en los contratos del API.</w:t>
      </w:r>
    </w:p>
    <w:p>
      <w:pPr>
        <w:pStyle w:val="Heading2"/>
        <w:spacing w:after="120" w:before="260"/>
      </w:pPr>
      <w:r>
        <w:t xml:space="preserve">Nomenclatura C#</w:t>
      </w:r>
    </w:p>
    <w:p>
      <w:pPr>
        <w:pStyle w:val="ListParagraph"/>
        <w:numPr>
          <w:ilvl w:val="0"/>
          <w:numId w:val="2"/>
        </w:numPr>
        <w:spacing w:after="60" w:line="276"/>
      </w:pPr>
      <w:r>
        <w:rPr>
          <w:sz w:val="22"/>
          <w:szCs w:val="22"/>
        </w:rPr>
        <w:t xml:space="preserve">PascalCase / camelCase / _camelCase aplicados según la tabla maestra.</w:t>
      </w:r>
    </w:p>
    <w:p>
      <w:pPr>
        <w:pStyle w:val="ListParagraph"/>
        <w:numPr>
          <w:ilvl w:val="0"/>
          <w:numId w:val="2"/>
        </w:numPr>
        <w:spacing w:after="60" w:line="276"/>
      </w:pPr>
      <w:r>
        <w:rPr>
          <w:sz w:val="22"/>
          <w:szCs w:val="22"/>
        </w:rPr>
        <w:t xml:space="preserve">Métodos asíncronos con sufijo Async y CancellationToken al final.</w:t>
      </w:r>
    </w:p>
    <w:p>
      <w:pPr>
        <w:pStyle w:val="ListParagraph"/>
        <w:numPr>
          <w:ilvl w:val="0"/>
          <w:numId w:val="2"/>
        </w:numPr>
        <w:spacing w:after="60" w:line="276"/>
      </w:pPr>
      <w:r>
        <w:rPr>
          <w:sz w:val="22"/>
          <w:szCs w:val="22"/>
        </w:rPr>
        <w:t xml:space="preserve">Sin abreviaturas, sin notación húngara, sin clases Helper o Manager.</w:t>
      </w:r>
    </w:p>
    <w:p>
      <w:pPr>
        <w:pStyle w:val="ListParagraph"/>
        <w:numPr>
          <w:ilvl w:val="0"/>
          <w:numId w:val="2"/>
        </w:numPr>
        <w:spacing w:after="60" w:line="276"/>
      </w:pPr>
      <w:r>
        <w:rPr>
          <w:sz w:val="22"/>
          <w:szCs w:val="22"/>
        </w:rPr>
        <w:t xml:space="preserve">Booleanos con prefijo Es/Tiene/Puede.</w:t>
      </w:r>
    </w:p>
    <w:p>
      <w:pPr>
        <w:pStyle w:val="Heading2"/>
        <w:spacing w:after="120" w:before="260"/>
      </w:pPr>
      <w:r>
        <w:t xml:space="preserve">Base de datos</w:t>
      </w:r>
    </w:p>
    <w:p>
      <w:pPr>
        <w:pStyle w:val="ListParagraph"/>
        <w:numPr>
          <w:ilvl w:val="0"/>
          <w:numId w:val="2"/>
        </w:numPr>
        <w:spacing w:after="60" w:line="276"/>
      </w:pPr>
      <w:r>
        <w:rPr>
          <w:sz w:val="22"/>
          <w:szCs w:val="22"/>
        </w:rPr>
        <w:t xml:space="preserve">UPPER_SNAKE_CASE en todos los objetos nuevos.</w:t>
      </w:r>
    </w:p>
    <w:p>
      <w:pPr>
        <w:pStyle w:val="ListParagraph"/>
        <w:numPr>
          <w:ilvl w:val="0"/>
          <w:numId w:val="2"/>
        </w:numPr>
        <w:spacing w:after="60" w:line="276"/>
      </w:pPr>
      <w:r>
        <w:rPr>
          <w:sz w:val="22"/>
          <w:szCs w:val="22"/>
        </w:rPr>
        <w:t xml:space="preserve">Constraints e índices nombrados con su prefijo (PK_, FK_, UQ_, CK_, IX_).</w:t>
      </w:r>
    </w:p>
    <w:p>
      <w:pPr>
        <w:pStyle w:val="ListParagraph"/>
        <w:numPr>
          <w:ilvl w:val="0"/>
          <w:numId w:val="2"/>
        </w:numPr>
        <w:spacing w:after="60" w:line="276"/>
      </w:pPr>
      <w:r>
        <w:rPr>
          <w:sz w:val="22"/>
          <w:szCs w:val="22"/>
        </w:rPr>
        <w:t xml:space="preserve">Columnas de auditoría presentes en tablas transaccionales.</w:t>
      </w:r>
    </w:p>
    <w:p>
      <w:pPr>
        <w:pStyle w:val="ListParagraph"/>
        <w:numPr>
          <w:ilvl w:val="0"/>
          <w:numId w:val="2"/>
        </w:numPr>
        <w:spacing w:after="60" w:line="276"/>
      </w:pPr>
      <w:r>
        <w:rPr>
          <w:sz w:val="22"/>
          <w:szCs w:val="22"/>
        </w:rPr>
        <w:t xml:space="preserve">COMMENT ON en tablas y columnas nuevas.</w:t>
      </w:r>
    </w:p>
    <w:p>
      <w:pPr>
        <w:pStyle w:val="ListParagraph"/>
        <w:numPr>
          <w:ilvl w:val="0"/>
          <w:numId w:val="2"/>
        </w:numPr>
        <w:spacing w:after="60" w:line="276"/>
      </w:pPr>
      <w:r>
        <w:rPr>
          <w:sz w:val="22"/>
          <w:szCs w:val="22"/>
        </w:rPr>
        <w:t xml:space="preserve">Script de migración versionado incluido en el PR.</w:t>
      </w:r>
    </w:p>
    <w:p>
      <w:pPr>
        <w:pStyle w:val="Heading2"/>
        <w:spacing w:after="120" w:before="260"/>
      </w:pPr>
      <w:r>
        <w:t xml:space="preserve">Stored procedures</w:t>
      </w:r>
    </w:p>
    <w:p>
      <w:pPr>
        <w:pStyle w:val="ListParagraph"/>
        <w:numPr>
          <w:ilvl w:val="0"/>
          <w:numId w:val="2"/>
        </w:numPr>
        <w:spacing w:after="60" w:line="276"/>
      </w:pPr>
      <w:r>
        <w:rPr>
          <w:sz w:val="22"/>
          <w:szCs w:val="22"/>
        </w:rPr>
        <w:t xml:space="preserve">Nombre con la fórmula SP_&lt;VERBO&gt;_&lt;ENTIDAD&gt;[_POR_&lt;CRITERIO&gt;], verbo del catálogo permitido.</w:t>
      </w:r>
    </w:p>
    <w:p>
      <w:pPr>
        <w:pStyle w:val="ListParagraph"/>
        <w:numPr>
          <w:ilvl w:val="0"/>
          <w:numId w:val="2"/>
        </w:numPr>
        <w:spacing w:after="60" w:line="276"/>
      </w:pPr>
      <w:r>
        <w:rPr>
          <w:sz w:val="22"/>
          <w:szCs w:val="22"/>
        </w:rPr>
        <w:t xml:space="preserve">Agrupado en el paquete PKG_ de su entidad.</w:t>
      </w:r>
    </w:p>
    <w:p>
      <w:pPr>
        <w:pStyle w:val="ListParagraph"/>
        <w:numPr>
          <w:ilvl w:val="0"/>
          <w:numId w:val="2"/>
        </w:numPr>
        <w:spacing w:after="60" w:line="276"/>
      </w:pPr>
      <w:r>
        <w:rPr>
          <w:sz w:val="22"/>
          <w:szCs w:val="22"/>
        </w:rPr>
        <w:t xml:space="preserve">Parámetros con prefijo P_ / O_ y tipos anclados con %TYPE.</w:t>
      </w:r>
    </w:p>
    <w:p>
      <w:pPr>
        <w:pStyle w:val="ListParagraph"/>
        <w:numPr>
          <w:ilvl w:val="0"/>
          <w:numId w:val="2"/>
        </w:numPr>
        <w:spacing w:after="60" w:line="276"/>
      </w:pPr>
      <w:r>
        <w:rPr>
          <w:sz w:val="22"/>
          <w:szCs w:val="22"/>
        </w:rPr>
        <w:t xml:space="preserve">Devuelve O_CODIGO_ERROR y O_MENSAJE_ERROR; la aplicación los valida.</w:t>
      </w:r>
    </w:p>
    <w:p>
      <w:pPr>
        <w:pStyle w:val="ListParagraph"/>
        <w:numPr>
          <w:ilvl w:val="0"/>
          <w:numId w:val="2"/>
        </w:numPr>
        <w:spacing w:after="60" w:line="276"/>
      </w:pPr>
      <w:r>
        <w:rPr>
          <w:sz w:val="22"/>
          <w:szCs w:val="22"/>
        </w:rPr>
        <w:t xml:space="preserve">Sin SQL dinámico concatenado. Sin COMMIT interno en operaciones transaccionales.</w:t>
      </w:r>
    </w:p>
    <w:p>
      <w:pPr>
        <w:pStyle w:val="Heading2"/>
        <w:spacing w:after="120" w:before="260"/>
      </w:pPr>
      <w:r>
        <w:t xml:space="preserve">Blazor</w:t>
      </w:r>
    </w:p>
    <w:p>
      <w:pPr>
        <w:pStyle w:val="ListParagraph"/>
        <w:numPr>
          <w:ilvl w:val="0"/>
          <w:numId w:val="2"/>
        </w:numPr>
        <w:spacing w:after="60" w:line="276"/>
      </w:pPr>
      <w:r>
        <w:rPr>
          <w:sz w:val="22"/>
          <w:szCs w:val="22"/>
        </w:rPr>
        <w:t xml:space="preserve">El proyecto Client no referencia Domain, Application ni Infrastructure.</w:t>
      </w:r>
    </w:p>
    <w:p>
      <w:pPr>
        <w:pStyle w:val="ListParagraph"/>
        <w:numPr>
          <w:ilvl w:val="0"/>
          <w:numId w:val="2"/>
        </w:numPr>
        <w:spacing w:after="60" w:line="276"/>
      </w:pPr>
      <w:r>
        <w:rPr>
          <w:sz w:val="22"/>
          <w:szCs w:val="22"/>
        </w:rPr>
        <w:t xml:space="preserve">Ningún secreto, clave ni cadena de conexión en el ensamblado cliente.</w:t>
      </w:r>
    </w:p>
    <w:p>
      <w:pPr>
        <w:pStyle w:val="ListParagraph"/>
        <w:numPr>
          <w:ilvl w:val="0"/>
          <w:numId w:val="2"/>
        </w:numPr>
        <w:spacing w:after="60" w:line="276"/>
      </w:pPr>
      <w:r>
        <w:rPr>
          <w:sz w:val="22"/>
          <w:szCs w:val="22"/>
        </w:rPr>
        <w:t xml:space="preserve">Componentes con más de 10 líneas de C# usan code-behind.</w:t>
      </w:r>
    </w:p>
    <w:p>
      <w:pPr>
        <w:pStyle w:val="ListParagraph"/>
        <w:numPr>
          <w:ilvl w:val="0"/>
          <w:numId w:val="2"/>
        </w:numPr>
        <w:spacing w:after="60" w:line="276"/>
      </w:pPr>
      <w:r>
        <w:rPr>
          <w:sz w:val="22"/>
          <w:szCs w:val="22"/>
        </w:rPr>
        <w:t xml:space="preserve">Llamadas HTTP a través de typed clients, con CancellationToken y liberación en Dispose.</w:t>
      </w:r>
    </w:p>
    <w:p>
      <w:pPr>
        <w:pStyle w:val="ListParagraph"/>
        <w:numPr>
          <w:ilvl w:val="0"/>
          <w:numId w:val="2"/>
        </w:numPr>
        <w:spacing w:after="60" w:line="276"/>
      </w:pPr>
      <w:r>
        <w:rPr>
          <w:sz w:val="22"/>
          <w:szCs w:val="22"/>
        </w:rPr>
        <w:t xml:space="preserve">Rutas en minúsculas y kebab-case; @key presente en los bucles.</w:t>
      </w:r>
    </w:p>
    <w:p>
      <w:pPr>
        <w:pStyle w:val="ListParagraph"/>
        <w:numPr>
          <w:ilvl w:val="0"/>
          <w:numId w:val="2"/>
        </w:numPr>
        <w:spacing w:after="60" w:line="276"/>
      </w:pPr>
      <w:r>
        <w:rPr>
          <w:sz w:val="22"/>
          <w:szCs w:val="22"/>
        </w:rPr>
        <w:t xml:space="preserve">Servicios sin estado registrados como Transient; el estado compartido se limpia al cerrar sesión.</w:t>
      </w:r>
    </w:p>
    <w:p>
      <w:pPr>
        <w:pStyle w:val="ListParagraph"/>
        <w:numPr>
          <w:ilvl w:val="0"/>
          <w:numId w:val="2"/>
        </w:numPr>
        <w:spacing w:after="60" w:line="276"/>
      </w:pPr>
      <w:r>
        <w:rPr>
          <w:sz w:val="22"/>
          <w:szCs w:val="22"/>
        </w:rPr>
        <w:t xml:space="preserve">Toda validación del cliente tiene su equivalente autoritativo en el API.</w:t>
      </w:r>
    </w:p>
    <w:p>
      <w:pPr>
        <w:pStyle w:val="Heading2"/>
        <w:spacing w:after="120" w:before="260"/>
      </w:pPr>
      <w:r>
        <w:t xml:space="preserve">Calidad</w:t>
      </w:r>
    </w:p>
    <w:p>
      <w:pPr>
        <w:pStyle w:val="ListParagraph"/>
        <w:numPr>
          <w:ilvl w:val="0"/>
          <w:numId w:val="2"/>
        </w:numPr>
        <w:spacing w:after="60" w:line="276"/>
      </w:pPr>
      <w:r>
        <w:rPr>
          <w:sz w:val="22"/>
          <w:szCs w:val="22"/>
        </w:rPr>
        <w:t xml:space="preserve">Pruebas unitarias nuevas o actualizadas; el build de CI pasa sin warnings.</w:t>
      </w:r>
    </w:p>
    <w:p>
      <w:pPr>
        <w:pStyle w:val="ListParagraph"/>
        <w:numPr>
          <w:ilvl w:val="0"/>
          <w:numId w:val="2"/>
        </w:numPr>
        <w:spacing w:after="60" w:line="276"/>
      </w:pPr>
      <w:r>
        <w:rPr>
          <w:sz w:val="22"/>
          <w:szCs w:val="22"/>
        </w:rPr>
        <w:t xml:space="preserve">Sin código comentado, sin TODO sin ticket asociado, sin Console.WriteLine.</w:t>
      </w:r>
    </w:p>
    <w:p>
      <w:pPr>
        <w:pStyle w:val="ListParagraph"/>
        <w:numPr>
          <w:ilvl w:val="0"/>
          <w:numId w:val="2"/>
        </w:numPr>
        <w:spacing w:after="60" w:line="276"/>
      </w:pPr>
      <w:r>
        <w:rPr>
          <w:sz w:val="22"/>
          <w:szCs w:val="22"/>
        </w:rPr>
        <w:t xml:space="preserve">Logging estructurado, sin datos sensibles.</w:t>
      </w:r>
    </w:p>
    <w:p>
      <w:pPr>
        <w:pStyle w:val="ListParagraph"/>
        <w:numPr>
          <w:ilvl w:val="0"/>
          <w:numId w:val="2"/>
        </w:numPr>
        <w:spacing w:after="60" w:line="276"/>
      </w:pPr>
      <w:r>
        <w:rPr>
          <w:sz w:val="22"/>
          <w:szCs w:val="22"/>
        </w:rPr>
        <w:t xml:space="preserve">Sin secretos en el repositorio.</w:t>
      </w:r>
    </w:p>
    <w:p>
      <w:pPr>
        <w:pStyle w:val="Heading1"/>
        <w:spacing w:after="160" w:before="360"/>
      </w:pPr>
      <w:r>
        <w:t xml:space="preserve">13. Control de cambios del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40"/>
        </w:tblCellMar>
      </w:tblPr>
      <w:tblGrid>
        <w:gridCol w:w="1400"/>
        <w:gridCol w:w="1800"/>
        <w:gridCol w:w="2400"/>
        <w:gridCol w:w="3400"/>
      </w:tblGrid>
      <w:tr>
        <w:tc>
          <w:tcPr>
            <w:tcW w:type="dxa" w:w="1400"/>
            <w:gridSpan w:val="1"/>
            <w:shd w:fill="DCE6F1" w:val="clear"/>
            <w:tcMar>
              <w:top w:type="dxa" w:w="60"/>
              <w:left w:type="dxa" w:w="100"/>
              <w:bottom w:type="dxa" w:w="60"/>
              <w:right w:type="dxa" w:w="100"/>
            </w:tcMar>
          </w:tcPr>
          <w:p>
            <w:pPr>
              <w:spacing w:after="0"/>
            </w:pPr>
            <w:r>
              <w:rPr>
                <w:b/>
                <w:bCs/>
                <w:sz w:val="19"/>
                <w:szCs w:val="19"/>
              </w:rPr>
              <w:t xml:space="preserve">Versión</w:t>
            </w:r>
          </w:p>
        </w:tc>
        <w:tc>
          <w:tcPr>
            <w:tcW w:type="dxa" w:w="1800"/>
            <w:gridSpan w:val="1"/>
            <w:shd w:fill="DCE6F1" w:val="clear"/>
            <w:tcMar>
              <w:top w:type="dxa" w:w="60"/>
              <w:left w:type="dxa" w:w="100"/>
              <w:bottom w:type="dxa" w:w="60"/>
              <w:right w:type="dxa" w:w="100"/>
            </w:tcMar>
          </w:tcPr>
          <w:p>
            <w:pPr>
              <w:spacing w:after="0"/>
            </w:pPr>
            <w:r>
              <w:rPr>
                <w:b/>
                <w:bCs/>
                <w:sz w:val="19"/>
                <w:szCs w:val="19"/>
              </w:rPr>
              <w:t xml:space="preserve">Fecha</w:t>
            </w:r>
          </w:p>
        </w:tc>
        <w:tc>
          <w:tcPr>
            <w:tcW w:type="dxa" w:w="2400"/>
            <w:gridSpan w:val="1"/>
            <w:shd w:fill="DCE6F1" w:val="clear"/>
            <w:tcMar>
              <w:top w:type="dxa" w:w="60"/>
              <w:left w:type="dxa" w:w="100"/>
              <w:bottom w:type="dxa" w:w="60"/>
              <w:right w:type="dxa" w:w="100"/>
            </w:tcMar>
          </w:tcPr>
          <w:p>
            <w:pPr>
              <w:spacing w:after="0"/>
            </w:pPr>
            <w:r>
              <w:rPr>
                <w:b/>
                <w:bCs/>
                <w:sz w:val="19"/>
                <w:szCs w:val="19"/>
              </w:rPr>
              <w:t xml:space="preserve">Autor</w:t>
            </w:r>
          </w:p>
        </w:tc>
        <w:tc>
          <w:tcPr>
            <w:tcW w:type="dxa" w:w="3400"/>
            <w:gridSpan w:val="1"/>
            <w:shd w:fill="DCE6F1" w:val="clear"/>
            <w:tcMar>
              <w:top w:type="dxa" w:w="60"/>
              <w:left w:type="dxa" w:w="100"/>
              <w:bottom w:type="dxa" w:w="60"/>
              <w:right w:type="dxa" w:w="100"/>
            </w:tcMar>
          </w:tcPr>
          <w:p>
            <w:pPr>
              <w:spacing w:after="0"/>
            </w:pPr>
            <w:r>
              <w:rPr>
                <w:b/>
                <w:bCs/>
                <w:sz w:val="19"/>
                <w:szCs w:val="19"/>
              </w:rPr>
              <w:t xml:space="preserve">Cambio</w:t>
            </w:r>
          </w:p>
        </w:tc>
      </w:tr>
      <w:tr>
        <w:tc>
          <w:tcPr>
            <w:tcW w:type="dxa" w:w="1400"/>
            <w:gridSpan w:val="1"/>
            <w:tcMar>
              <w:top w:type="dxa" w:w="60"/>
              <w:left w:type="dxa" w:w="100"/>
              <w:bottom w:type="dxa" w:w="60"/>
              <w:right w:type="dxa" w:w="100"/>
            </w:tcMar>
          </w:tcPr>
          <w:p>
            <w:pPr>
              <w:spacing w:after="0"/>
            </w:pPr>
            <w:r>
              <w:rPr>
                <w:b w:val="false"/>
                <w:bCs w:val="false"/>
                <w:sz w:val="19"/>
                <w:szCs w:val="19"/>
              </w:rPr>
              <w:t xml:space="preserve">1.0</w:t>
            </w:r>
          </w:p>
        </w:tc>
        <w:tc>
          <w:tcPr>
            <w:tcW w:type="dxa" w:w="1800"/>
            <w:gridSpan w:val="1"/>
            <w:tcMar>
              <w:top w:type="dxa" w:w="60"/>
              <w:left w:type="dxa" w:w="100"/>
              <w:bottom w:type="dxa" w:w="60"/>
              <w:right w:type="dxa" w:w="100"/>
            </w:tcMar>
          </w:tcPr>
          <w:p>
            <w:pPr>
              <w:spacing w:after="0"/>
            </w:pPr>
            <w:r>
              <w:rPr>
                <w:b w:val="false"/>
                <w:bCs w:val="false"/>
                <w:sz w:val="19"/>
                <w:szCs w:val="19"/>
              </w:rPr>
              <w:t xml:space="preserve"/>
            </w:r>
          </w:p>
        </w:tc>
        <w:tc>
          <w:tcPr>
            <w:tcW w:type="dxa" w:w="2400"/>
            <w:gridSpan w:val="1"/>
            <w:tcMar>
              <w:top w:type="dxa" w:w="60"/>
              <w:left w:type="dxa" w:w="100"/>
              <w:bottom w:type="dxa" w:w="60"/>
              <w:right w:type="dxa" w:w="100"/>
            </w:tcMar>
          </w:tcPr>
          <w:p>
            <w:pPr>
              <w:spacing w:after="0"/>
            </w:pPr>
            <w:r>
              <w:rPr>
                <w:b w:val="false"/>
                <w:bCs w:val="false"/>
                <w:sz w:val="19"/>
                <w:szCs w:val="19"/>
              </w:rPr>
              <w:t xml:space="preserve"/>
            </w:r>
          </w:p>
        </w:tc>
        <w:tc>
          <w:tcPr>
            <w:tcW w:type="dxa" w:w="3400"/>
            <w:gridSpan w:val="1"/>
            <w:tcMar>
              <w:top w:type="dxa" w:w="60"/>
              <w:left w:type="dxa" w:w="100"/>
              <w:bottom w:type="dxa" w:w="60"/>
              <w:right w:type="dxa" w:w="100"/>
            </w:tcMar>
          </w:tcPr>
          <w:p>
            <w:pPr>
              <w:spacing w:after="0"/>
            </w:pPr>
            <w:r>
              <w:rPr>
                <w:b w:val="false"/>
                <w:bCs w:val="false"/>
                <w:sz w:val="19"/>
                <w:szCs w:val="19"/>
              </w:rPr>
              <w:t xml:space="preserve">Versión inicial</w:t>
            </w:r>
          </w:p>
        </w:tc>
      </w:tr>
      <w:tr>
        <w:tc>
          <w:tcPr>
            <w:tcW w:type="dxa" w:w="1400"/>
            <w:gridSpan w:val="1"/>
            <w:tcMar>
              <w:top w:type="dxa" w:w="60"/>
              <w:left w:type="dxa" w:w="100"/>
              <w:bottom w:type="dxa" w:w="60"/>
              <w:right w:type="dxa" w:w="100"/>
            </w:tcMar>
          </w:tcPr>
          <w:p>
            <w:pPr>
              <w:spacing w:after="0"/>
            </w:pPr>
            <w:r>
              <w:rPr>
                <w:b w:val="false"/>
                <w:bCs w:val="false"/>
                <w:sz w:val="19"/>
                <w:szCs w:val="19"/>
              </w:rPr>
              <w:t xml:space="preserve"/>
            </w:r>
          </w:p>
        </w:tc>
        <w:tc>
          <w:tcPr>
            <w:tcW w:type="dxa" w:w="1800"/>
            <w:gridSpan w:val="1"/>
            <w:tcMar>
              <w:top w:type="dxa" w:w="60"/>
              <w:left w:type="dxa" w:w="100"/>
              <w:bottom w:type="dxa" w:w="60"/>
              <w:right w:type="dxa" w:w="100"/>
            </w:tcMar>
          </w:tcPr>
          <w:p>
            <w:pPr>
              <w:spacing w:after="0"/>
            </w:pPr>
            <w:r>
              <w:rPr>
                <w:b w:val="false"/>
                <w:bCs w:val="false"/>
                <w:sz w:val="19"/>
                <w:szCs w:val="19"/>
              </w:rPr>
              <w:t xml:space="preserve"/>
            </w:r>
          </w:p>
        </w:tc>
        <w:tc>
          <w:tcPr>
            <w:tcW w:type="dxa" w:w="2400"/>
            <w:gridSpan w:val="1"/>
            <w:tcMar>
              <w:top w:type="dxa" w:w="60"/>
              <w:left w:type="dxa" w:w="100"/>
              <w:bottom w:type="dxa" w:w="60"/>
              <w:right w:type="dxa" w:w="100"/>
            </w:tcMar>
          </w:tcPr>
          <w:p>
            <w:pPr>
              <w:spacing w:after="0"/>
            </w:pPr>
            <w:r>
              <w:rPr>
                <w:b w:val="false"/>
                <w:bCs w:val="false"/>
                <w:sz w:val="19"/>
                <w:szCs w:val="19"/>
              </w:rPr>
              <w:t xml:space="preserve"/>
            </w:r>
          </w:p>
        </w:tc>
        <w:tc>
          <w:tcPr>
            <w:tcW w:type="dxa" w:w="3400"/>
            <w:gridSpan w:val="1"/>
            <w:tcMar>
              <w:top w:type="dxa" w:w="60"/>
              <w:left w:type="dxa" w:w="100"/>
              <w:bottom w:type="dxa" w:w="60"/>
              <w:right w:type="dxa" w:w="100"/>
            </w:tcMar>
          </w:tcPr>
          <w:p>
            <w:pPr>
              <w:spacing w:after="0"/>
            </w:pPr>
            <w:r>
              <w:rPr>
                <w:b w:val="false"/>
                <w:bCs w:val="false"/>
                <w:sz w:val="19"/>
                <w:szCs w:val="19"/>
              </w:rPr>
              <w:t xml:space="preserve"/>
            </w:r>
          </w:p>
        </w:tc>
      </w:tr>
      <w:tr>
        <w:tc>
          <w:tcPr>
            <w:tcW w:type="dxa" w:w="1400"/>
            <w:gridSpan w:val="1"/>
            <w:tcMar>
              <w:top w:type="dxa" w:w="60"/>
              <w:left w:type="dxa" w:w="100"/>
              <w:bottom w:type="dxa" w:w="60"/>
              <w:right w:type="dxa" w:w="100"/>
            </w:tcMar>
          </w:tcPr>
          <w:p>
            <w:pPr>
              <w:spacing w:after="0"/>
            </w:pPr>
            <w:r>
              <w:rPr>
                <w:b w:val="false"/>
                <w:bCs w:val="false"/>
                <w:sz w:val="19"/>
                <w:szCs w:val="19"/>
              </w:rPr>
              <w:t xml:space="preserve"/>
            </w:r>
          </w:p>
        </w:tc>
        <w:tc>
          <w:tcPr>
            <w:tcW w:type="dxa" w:w="1800"/>
            <w:gridSpan w:val="1"/>
            <w:tcMar>
              <w:top w:type="dxa" w:w="60"/>
              <w:left w:type="dxa" w:w="100"/>
              <w:bottom w:type="dxa" w:w="60"/>
              <w:right w:type="dxa" w:w="100"/>
            </w:tcMar>
          </w:tcPr>
          <w:p>
            <w:pPr>
              <w:spacing w:after="0"/>
            </w:pPr>
            <w:r>
              <w:rPr>
                <w:b w:val="false"/>
                <w:bCs w:val="false"/>
                <w:sz w:val="19"/>
                <w:szCs w:val="19"/>
              </w:rPr>
              <w:t xml:space="preserve"/>
            </w:r>
          </w:p>
        </w:tc>
        <w:tc>
          <w:tcPr>
            <w:tcW w:type="dxa" w:w="2400"/>
            <w:gridSpan w:val="1"/>
            <w:tcMar>
              <w:top w:type="dxa" w:w="60"/>
              <w:left w:type="dxa" w:w="100"/>
              <w:bottom w:type="dxa" w:w="60"/>
              <w:right w:type="dxa" w:w="100"/>
            </w:tcMar>
          </w:tcPr>
          <w:p>
            <w:pPr>
              <w:spacing w:after="0"/>
            </w:pPr>
            <w:r>
              <w:rPr>
                <w:b w:val="false"/>
                <w:bCs w:val="false"/>
                <w:sz w:val="19"/>
                <w:szCs w:val="19"/>
              </w:rPr>
              <w:t xml:space="preserve"/>
            </w:r>
          </w:p>
        </w:tc>
        <w:tc>
          <w:tcPr>
            <w:tcW w:type="dxa" w:w="3400"/>
            <w:gridSpan w:val="1"/>
            <w:tcMar>
              <w:top w:type="dxa" w:w="60"/>
              <w:left w:type="dxa" w:w="100"/>
              <w:bottom w:type="dxa" w:w="60"/>
              <w:right w:type="dxa" w:w="100"/>
            </w:tcMar>
          </w:tcPr>
          <w:p>
            <w:pPr>
              <w:spacing w:after="0"/>
            </w:pPr>
            <w:r>
              <w:rPr>
                <w:b w:val="false"/>
                <w:bCs w:val="false"/>
                <w:sz w:val="19"/>
                <w:szCs w:val="19"/>
              </w:rPr>
              <w:t xml:space="preserve"/>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4"/>
      </w:pBdr>
      <w:jc w:val="right"/>
    </w:pPr>
    <w:r>
      <w:rPr>
        <w:color w:val="595959"/>
        <w:sz w:val="16"/>
        <w:szCs w:val="16"/>
      </w:rPr>
      <w:t xml:space="preserve">Lineamientos de Desarrollo — C# · Clean Architecture · Blazor · Oracle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4E79"/>
      <w:sz w:val="34"/>
      <w:szCs w:val="34"/>
    </w:rPr>
  </w:style>
  <w:style w:type="paragraph" w:styleId="Heading2">
    <w:name w:val="Heading 2"/>
    <w:basedOn w:val="Normal"/>
    <w:next w:val="Normal"/>
    <w:qFormat/>
    <w:pPr>
      <w:spacing w:after="120" w:before="260"/>
    </w:pPr>
    <w:rPr>
      <w:rFonts w:ascii="Calibri Light" w:cs="Calibri Light" w:eastAsia="Calibri Light" w:hAnsi="Calibri Light"/>
      <w:b/>
      <w:bCs/>
      <w:color w:val="1F4E79"/>
      <w:sz w:val="27"/>
      <w:szCs w:val="27"/>
    </w:rPr>
  </w:style>
  <w:style w:type="paragraph" w:styleId="Heading3">
    <w:name w:val="Heading 3"/>
    <w:basedOn w:val="Normal"/>
    <w:next w:val="Normal"/>
    <w:qFormat/>
    <w:pPr>
      <w:spacing w:after="100" w:before="200"/>
    </w:pPr>
    <w:rPr>
      <w:rFonts w:ascii="Calibri" w:cs="Calibri" w:eastAsia="Calibri" w:hAnsi="Calibri"/>
      <w:b/>
      <w:bCs/>
      <w:color w:val="2E74B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Lineamientos de Desarrollo — C#, Clean Architecture, Blazor WASM, Oracle</dc:title>
  <dc:creator>Equipo de Arquitectura</dc:creator>
  <dc:description>Convenciones de código, front-end, base de datos y stored procedures</dc:description>
  <cp:lastModifiedBy>Un-named</cp:lastModifiedBy>
  <cp:revision>1</cp:revision>
  <dcterms:created xsi:type="dcterms:W3CDTF">2026-08-03T21:01:29.133Z</dcterms:created>
  <dcterms:modified xsi:type="dcterms:W3CDTF">2026-08-03T21:01:29.153Z</dcterms:modified>
</cp:coreProperties>
</file>

<file path=docProps/custom.xml><?xml version="1.0" encoding="utf-8"?>
<Properties xmlns="http://schemas.openxmlformats.org/officeDocument/2006/custom-properties" xmlns:vt="http://schemas.openxmlformats.org/officeDocument/2006/docPropsVTypes"/>
</file>