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069"/>
          <w:sz w:val="44"/>
        </w:rPr>
        <w:t>01. 선박 배관용 밸브 음향기반 정비매뉴얼</w:t>
      </w:r>
    </w:p>
    <w:p>
      <w:pPr>
        <w:jc w:val="center"/>
      </w:pPr>
      <w:r>
        <w:t>Maintenance Manual for Valve Acoustic Condition Monitoring</w:t>
      </w:r>
    </w:p>
    <w:p>
      <w:pPr>
        <w:jc w:val="center"/>
      </w:pPr>
      <w:r>
        <w:t>작성 목적: 2주차 데이터 정제 및 분석 결과를 3주차 Vector DB 구축과 RAG 구현에 연결하기 위한 제출용 산출물</w:t>
      </w:r>
    </w:p>
    <w:p/>
    <w:p>
      <w:pPr>
        <w:pStyle w:val="Heading1"/>
      </w:pPr>
      <w:r>
        <w:t>1. 문서 개요</w:t>
      </w:r>
    </w:p>
    <w:p>
      <w:r>
        <w:t>본 정비매뉴얼은 선박 배관 계통에 설치된 밸브의 예방정비, 상태진단 및 음향 기반 이상탐지를 수행하기 위한 기술문서이다. 데이터 기반 판정기준은 Valve Dataset의 WAV 파일 4,170개에서 추출한 RMS, Dominant Frequency, Spectral Centroid 통계값을 근거로 설정하였다.</w:t>
      </w:r>
    </w:p>
    <w:p>
      <w:pPr>
        <w:pStyle w:val="Heading1"/>
      </w:pPr>
      <w:r>
        <w:t>2. 적용 범위</w:t>
      </w:r>
    </w:p>
    <w:p>
      <w:pPr>
        <w:pStyle w:val="ListBullet"/>
      </w:pPr>
      <w:r>
        <w:t>Ball Valve, Gate Valve, Globe Valve, Butterfly Valve, Check Valve</w:t>
      </w:r>
    </w:p>
    <w:p>
      <w:pPr>
        <w:pStyle w:val="ListBullet"/>
      </w:pPr>
      <w:r>
        <w:t>Sea Water, Fresh Water, Air, N2, Hydraulic Oil 등 일반 선박 배관 유체</w:t>
      </w:r>
    </w:p>
    <w:p>
      <w:pPr>
        <w:pStyle w:val="ListBullet"/>
      </w:pPr>
      <w:r>
        <w:t>정상 운전음과 이상음의 상대적 변화를 활용하는 상태감시 업무</w:t>
      </w:r>
    </w:p>
    <w:p>
      <w:pPr>
        <w:pStyle w:val="ListBullet"/>
      </w:pPr>
      <w:r>
        <w:t>RAG 시스템에 투입할 정비 지식문서의 원천 자료</w:t>
      </w:r>
    </w:p>
    <w:p>
      <w:pPr>
        <w:pStyle w:val="Heading1"/>
      </w:pPr>
      <w:r>
        <w:t>3. 밸브 주요 구성품 및 고장모드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구성품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역할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주요 고장모드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대표 음향 징후</w:t>
            </w:r>
          </w:p>
        </w:tc>
      </w:tr>
      <w:tr>
        <w:tc>
          <w:tcPr>
            <w:tcW w:type="dxa" w:w="2520"/>
            <w:vAlign w:val="center"/>
          </w:tcPr>
          <w:p>
            <w:r>
              <w:t>Body</w:t>
            </w:r>
          </w:p>
        </w:tc>
        <w:tc>
          <w:tcPr>
            <w:tcW w:type="dxa" w:w="2520"/>
            <w:vAlign w:val="center"/>
          </w:tcPr>
          <w:p>
            <w:r>
              <w:t>유체 통로 형성</w:t>
            </w:r>
          </w:p>
        </w:tc>
        <w:tc>
          <w:tcPr>
            <w:tcW w:type="dxa" w:w="2520"/>
            <w:vAlign w:val="center"/>
          </w:tcPr>
          <w:p>
            <w:r>
              <w:t>부식, 균열</w:t>
            </w:r>
          </w:p>
        </w:tc>
        <w:tc>
          <w:tcPr>
            <w:tcW w:type="dxa" w:w="2520"/>
            <w:vAlign w:val="center"/>
          </w:tcPr>
          <w:p>
            <w:r>
              <w:t>저주파 진동 증가</w:t>
            </w:r>
          </w:p>
        </w:tc>
      </w:tr>
      <w:tr>
        <w:tc>
          <w:tcPr>
            <w:tcW w:type="dxa" w:w="2520"/>
            <w:vAlign w:val="center"/>
          </w:tcPr>
          <w:p>
            <w:r>
              <w:t>Seat</w:t>
            </w:r>
          </w:p>
        </w:tc>
        <w:tc>
          <w:tcPr>
            <w:tcW w:type="dxa" w:w="2520"/>
            <w:vAlign w:val="center"/>
          </w:tcPr>
          <w:p>
            <w:r>
              <w:t>밀폐 유지</w:t>
            </w:r>
          </w:p>
        </w:tc>
        <w:tc>
          <w:tcPr>
            <w:tcW w:type="dxa" w:w="2520"/>
            <w:vAlign w:val="center"/>
          </w:tcPr>
          <w:p>
            <w:r>
              <w:t>마모, 이물질 끼임</w:t>
            </w:r>
          </w:p>
        </w:tc>
        <w:tc>
          <w:tcPr>
            <w:tcW w:type="dxa" w:w="2520"/>
            <w:vAlign w:val="center"/>
          </w:tcPr>
          <w:p>
            <w:r>
              <w:t>RMS 증가, 고주파 누설음</w:t>
            </w:r>
          </w:p>
        </w:tc>
      </w:tr>
      <w:tr>
        <w:tc>
          <w:tcPr>
            <w:tcW w:type="dxa" w:w="2520"/>
            <w:vAlign w:val="center"/>
          </w:tcPr>
          <w:p>
            <w:r>
              <w:t>Stem</w:t>
            </w:r>
          </w:p>
        </w:tc>
        <w:tc>
          <w:tcPr>
            <w:tcW w:type="dxa" w:w="2520"/>
            <w:vAlign w:val="center"/>
          </w:tcPr>
          <w:p>
            <w:r>
              <w:t>개폐력 전달</w:t>
            </w:r>
          </w:p>
        </w:tc>
        <w:tc>
          <w:tcPr>
            <w:tcW w:type="dxa" w:w="2520"/>
            <w:vAlign w:val="center"/>
          </w:tcPr>
          <w:p>
            <w:r>
              <w:t>마모, 편심</w:t>
            </w:r>
          </w:p>
        </w:tc>
        <w:tc>
          <w:tcPr>
            <w:tcW w:type="dxa" w:w="2520"/>
            <w:vAlign w:val="center"/>
          </w:tcPr>
          <w:p>
            <w:r>
              <w:t>주기적 충격음</w:t>
            </w:r>
          </w:p>
        </w:tc>
      </w:tr>
      <w:tr>
        <w:tc>
          <w:tcPr>
            <w:tcW w:type="dxa" w:w="2520"/>
            <w:vAlign w:val="center"/>
          </w:tcPr>
          <w:p>
            <w:r>
              <w:t>Packing</w:t>
            </w:r>
          </w:p>
        </w:tc>
        <w:tc>
          <w:tcPr>
            <w:tcW w:type="dxa" w:w="2520"/>
            <w:vAlign w:val="center"/>
          </w:tcPr>
          <w:p>
            <w:r>
              <w:t>Stem 누설 방지</w:t>
            </w:r>
          </w:p>
        </w:tc>
        <w:tc>
          <w:tcPr>
            <w:tcW w:type="dxa" w:w="2520"/>
            <w:vAlign w:val="center"/>
          </w:tcPr>
          <w:p>
            <w:r>
              <w:t>노화, 체결력 저하</w:t>
            </w:r>
          </w:p>
        </w:tc>
        <w:tc>
          <w:tcPr>
            <w:tcW w:type="dxa" w:w="2520"/>
            <w:vAlign w:val="center"/>
          </w:tcPr>
          <w:p>
            <w:r>
              <w:t>Spectral Centroid 증가</w:t>
            </w:r>
          </w:p>
        </w:tc>
      </w:tr>
      <w:tr>
        <w:tc>
          <w:tcPr>
            <w:tcW w:type="dxa" w:w="2520"/>
            <w:vAlign w:val="center"/>
          </w:tcPr>
          <w:p>
            <w:r>
              <w:t>Actuator</w:t>
            </w:r>
          </w:p>
        </w:tc>
        <w:tc>
          <w:tcPr>
            <w:tcW w:type="dxa" w:w="2520"/>
            <w:vAlign w:val="center"/>
          </w:tcPr>
          <w:p>
            <w:r>
              <w:t>자동 개폐</w:t>
            </w:r>
          </w:p>
        </w:tc>
        <w:tc>
          <w:tcPr>
            <w:tcW w:type="dxa" w:w="2520"/>
            <w:vAlign w:val="center"/>
          </w:tcPr>
          <w:p>
            <w:r>
              <w:t>기어 마모, 제어 불량</w:t>
            </w:r>
          </w:p>
        </w:tc>
        <w:tc>
          <w:tcPr>
            <w:tcW w:type="dxa" w:w="2520"/>
            <w:vAlign w:val="center"/>
          </w:tcPr>
          <w:p>
            <w:r>
              <w:t>반복 충격음, Peak 증가</w:t>
            </w:r>
          </w:p>
        </w:tc>
      </w:tr>
    </w:tbl>
    <w:p>
      <w:pPr>
        <w:pStyle w:val="Heading1"/>
      </w:pPr>
      <w:r>
        <w:t>4. 예방정비 주기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주기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점검 내용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기록 항목</w:t>
            </w:r>
          </w:p>
        </w:tc>
      </w:tr>
      <w:tr>
        <w:tc>
          <w:tcPr>
            <w:tcW w:type="dxa" w:w="2520"/>
            <w:vAlign w:val="center"/>
          </w:tcPr>
          <w:p>
            <w:r>
              <w:t>일상점검</w:t>
            </w:r>
          </w:p>
        </w:tc>
        <w:tc>
          <w:tcPr>
            <w:tcW w:type="dxa" w:w="2520"/>
            <w:vAlign w:val="center"/>
          </w:tcPr>
          <w:p>
            <w:r>
              <w:t>매일</w:t>
            </w:r>
          </w:p>
        </w:tc>
        <w:tc>
          <w:tcPr>
            <w:tcW w:type="dxa" w:w="2520"/>
            <w:vAlign w:val="center"/>
          </w:tcPr>
          <w:p>
            <w:r>
              <w:t>누설, 소음, 외관 이상 여부</w:t>
            </w:r>
          </w:p>
        </w:tc>
        <w:tc>
          <w:tcPr>
            <w:tcW w:type="dxa" w:w="2520"/>
            <w:vAlign w:val="center"/>
          </w:tcPr>
          <w:p>
            <w:r>
              <w:t>운전압력, 온도, 육안 이상</w:t>
            </w:r>
          </w:p>
        </w:tc>
      </w:tr>
      <w:tr>
        <w:tc>
          <w:tcPr>
            <w:tcW w:type="dxa" w:w="2520"/>
            <w:vAlign w:val="center"/>
          </w:tcPr>
          <w:p>
            <w:r>
              <w:t>정기점검</w:t>
            </w:r>
          </w:p>
        </w:tc>
        <w:tc>
          <w:tcPr>
            <w:tcW w:type="dxa" w:w="2520"/>
            <w:vAlign w:val="center"/>
          </w:tcPr>
          <w:p>
            <w:r>
              <w:t>월 1회</w:t>
            </w:r>
          </w:p>
        </w:tc>
        <w:tc>
          <w:tcPr>
            <w:tcW w:type="dxa" w:w="2520"/>
            <w:vAlign w:val="center"/>
          </w:tcPr>
          <w:p>
            <w:r>
              <w:t>음향/진동 측정 및 추세 확인</w:t>
            </w:r>
          </w:p>
        </w:tc>
        <w:tc>
          <w:tcPr>
            <w:tcW w:type="dxa" w:w="2520"/>
            <w:vAlign w:val="center"/>
          </w:tcPr>
          <w:p>
            <w:r>
              <w:t>RMS, Dominant Frequency, Centroid</w:t>
            </w:r>
          </w:p>
        </w:tc>
      </w:tr>
      <w:tr>
        <w:tc>
          <w:tcPr>
            <w:tcW w:type="dxa" w:w="2520"/>
            <w:vAlign w:val="center"/>
          </w:tcPr>
          <w:p>
            <w:r>
              <w:t>예방정비</w:t>
            </w:r>
          </w:p>
        </w:tc>
        <w:tc>
          <w:tcPr>
            <w:tcW w:type="dxa" w:w="2520"/>
            <w:vAlign w:val="center"/>
          </w:tcPr>
          <w:p>
            <w:r>
              <w:t>6개월</w:t>
            </w:r>
          </w:p>
        </w:tc>
        <w:tc>
          <w:tcPr>
            <w:tcW w:type="dxa" w:w="2520"/>
            <w:vAlign w:val="center"/>
          </w:tcPr>
          <w:p>
            <w:r>
              <w:t>Packing 체결, Seat 상태 확인</w:t>
            </w:r>
          </w:p>
        </w:tc>
        <w:tc>
          <w:tcPr>
            <w:tcW w:type="dxa" w:w="2520"/>
            <w:vAlign w:val="center"/>
          </w:tcPr>
          <w:p>
            <w:r>
              <w:t>분해점검 결과, 교체 부품</w:t>
            </w:r>
          </w:p>
        </w:tc>
      </w:tr>
      <w:tr>
        <w:tc>
          <w:tcPr>
            <w:tcW w:type="dxa" w:w="2520"/>
            <w:vAlign w:val="center"/>
          </w:tcPr>
          <w:p>
            <w:r>
              <w:t>정밀진단</w:t>
            </w:r>
          </w:p>
        </w:tc>
        <w:tc>
          <w:tcPr>
            <w:tcW w:type="dxa" w:w="2520"/>
            <w:vAlign w:val="center"/>
          </w:tcPr>
          <w:p>
            <w:r>
              <w:t>연 1회</w:t>
            </w:r>
          </w:p>
        </w:tc>
        <w:tc>
          <w:tcPr>
            <w:tcW w:type="dxa" w:w="2520"/>
            <w:vAlign w:val="center"/>
          </w:tcPr>
          <w:p>
            <w:r>
              <w:t>FFT/MFCC 상세 분석, Trend 비교</w:t>
            </w:r>
          </w:p>
        </w:tc>
        <w:tc>
          <w:tcPr>
            <w:tcW w:type="dxa" w:w="2520"/>
            <w:vAlign w:val="center"/>
          </w:tcPr>
          <w:p>
            <w:r>
              <w:t>분석 리포트, 조치 이력</w:t>
            </w:r>
          </w:p>
        </w:tc>
      </w:tr>
    </w:tbl>
    <w:p>
      <w:pPr>
        <w:pStyle w:val="Heading1"/>
      </w:pPr>
      <w:r>
        <w:t>5. 데이터셋 기반 상태판정 기준</w:t>
      </w:r>
    </w:p>
    <w:p>
      <w:r>
        <w:t>상태판정은 절대 규격값이 아니라 본 데이터셋의 평균(μ)과 표준편차(σ)를 이용한 Z-Score 기반 기준으로 설정하였다. 이는 설비별 Baseline을 확보한 후 변화율을 판단하는 상태감시 방식에 적합하다.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평균 μ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표준편차 σ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NORMAL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WARNING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ALERT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DANGER</w:t>
            </w:r>
          </w:p>
        </w:tc>
      </w:tr>
      <w:tr>
        <w:tc>
          <w:tcPr>
            <w:tcW w:type="dxa" w:w="1440"/>
            <w:vAlign w:val="center"/>
          </w:tcPr>
          <w:p>
            <w:r>
              <w:t>RMS</w:t>
            </w:r>
          </w:p>
        </w:tc>
        <w:tc>
          <w:tcPr>
            <w:tcW w:type="dxa" w:w="1440"/>
            <w:vAlign w:val="center"/>
          </w:tcPr>
          <w:p>
            <w:r>
              <w:t>0.076646</w:t>
            </w:r>
          </w:p>
        </w:tc>
        <w:tc>
          <w:tcPr>
            <w:tcW w:type="dxa" w:w="1440"/>
            <w:vAlign w:val="center"/>
          </w:tcPr>
          <w:p>
            <w:r>
              <w:t>0.020819</w:t>
            </w:r>
          </w:p>
        </w:tc>
        <w:tc>
          <w:tcPr>
            <w:tcW w:type="dxa" w:w="1440"/>
            <w:vAlign w:val="center"/>
          </w:tcPr>
          <w:p>
            <w:r>
              <w:t>&lt; 0.097</w:t>
            </w:r>
          </w:p>
        </w:tc>
        <w:tc>
          <w:tcPr>
            <w:tcW w:type="dxa" w:w="1440"/>
            <w:vAlign w:val="center"/>
          </w:tcPr>
          <w:p>
            <w:r>
              <w:t>0.097~0.118</w:t>
            </w:r>
          </w:p>
        </w:tc>
        <w:tc>
          <w:tcPr>
            <w:tcW w:type="dxa" w:w="1440"/>
            <w:vAlign w:val="center"/>
          </w:tcPr>
          <w:p>
            <w:r>
              <w:t>0.118~0.139</w:t>
            </w:r>
          </w:p>
        </w:tc>
        <w:tc>
          <w:tcPr>
            <w:tcW w:type="dxa" w:w="1440"/>
            <w:vAlign w:val="center"/>
          </w:tcPr>
          <w:p>
            <w:r>
              <w:t>&gt;= 0.139</w:t>
            </w:r>
          </w:p>
        </w:tc>
      </w:tr>
      <w:tr>
        <w:tc>
          <w:tcPr>
            <w:tcW w:type="dxa" w:w="1440"/>
            <w:vAlign w:val="center"/>
          </w:tcPr>
          <w:p>
            <w:r>
              <w:t>Dominant Frequency(Hz)</w:t>
            </w:r>
          </w:p>
        </w:tc>
        <w:tc>
          <w:tcPr>
            <w:tcW w:type="dxa" w:w="1440"/>
            <w:vAlign w:val="center"/>
          </w:tcPr>
          <w:p>
            <w:r>
              <w:t>209.208</w:t>
            </w:r>
          </w:p>
        </w:tc>
        <w:tc>
          <w:tcPr>
            <w:tcW w:type="dxa" w:w="1440"/>
            <w:vAlign w:val="center"/>
          </w:tcPr>
          <w:p>
            <w:r>
              <w:t>240.763</w:t>
            </w:r>
          </w:p>
        </w:tc>
        <w:tc>
          <w:tcPr>
            <w:tcW w:type="dxa" w:w="1440"/>
            <w:vAlign w:val="center"/>
          </w:tcPr>
          <w:p>
            <w:r>
              <w:t>&lt; 450.0</w:t>
            </w:r>
          </w:p>
        </w:tc>
        <w:tc>
          <w:tcPr>
            <w:tcW w:type="dxa" w:w="1440"/>
            <w:vAlign w:val="center"/>
          </w:tcPr>
          <w:p>
            <w:r>
              <w:t>450.0~690.7</w:t>
            </w:r>
          </w:p>
        </w:tc>
        <w:tc>
          <w:tcPr>
            <w:tcW w:type="dxa" w:w="1440"/>
            <w:vAlign w:val="center"/>
          </w:tcPr>
          <w:p>
            <w:r>
              <w:t>690.7~931.5</w:t>
            </w:r>
          </w:p>
        </w:tc>
        <w:tc>
          <w:tcPr>
            <w:tcW w:type="dxa" w:w="1440"/>
            <w:vAlign w:val="center"/>
          </w:tcPr>
          <w:p>
            <w:r>
              <w:t>&gt;= 931.5</w:t>
            </w:r>
          </w:p>
        </w:tc>
      </w:tr>
      <w:tr>
        <w:tc>
          <w:tcPr>
            <w:tcW w:type="dxa" w:w="1440"/>
            <w:vAlign w:val="center"/>
          </w:tcPr>
          <w:p>
            <w:r>
              <w:t>Spectral Centroid(Hz)</w:t>
            </w:r>
          </w:p>
        </w:tc>
        <w:tc>
          <w:tcPr>
            <w:tcW w:type="dxa" w:w="1440"/>
            <w:vAlign w:val="center"/>
          </w:tcPr>
          <w:p>
            <w:r>
              <w:t>2469.165</w:t>
            </w:r>
          </w:p>
        </w:tc>
        <w:tc>
          <w:tcPr>
            <w:tcW w:type="dxa" w:w="1440"/>
            <w:vAlign w:val="center"/>
          </w:tcPr>
          <w:p>
            <w:r>
              <w:t>352.710</w:t>
            </w:r>
          </w:p>
        </w:tc>
        <w:tc>
          <w:tcPr>
            <w:tcW w:type="dxa" w:w="1440"/>
            <w:vAlign w:val="center"/>
          </w:tcPr>
          <w:p>
            <w:r>
              <w:t>&lt; 2821.9</w:t>
            </w:r>
          </w:p>
        </w:tc>
        <w:tc>
          <w:tcPr>
            <w:tcW w:type="dxa" w:w="1440"/>
            <w:vAlign w:val="center"/>
          </w:tcPr>
          <w:p>
            <w:r>
              <w:t>2821.9~3174.6</w:t>
            </w:r>
          </w:p>
        </w:tc>
        <w:tc>
          <w:tcPr>
            <w:tcW w:type="dxa" w:w="1440"/>
            <w:vAlign w:val="center"/>
          </w:tcPr>
          <w:p>
            <w:r>
              <w:t>3174.6~3527.3</w:t>
            </w:r>
          </w:p>
        </w:tc>
        <w:tc>
          <w:tcPr>
            <w:tcW w:type="dxa" w:w="1440"/>
            <w:vAlign w:val="center"/>
          </w:tcPr>
          <w:p>
            <w:r>
              <w:t>&gt;= 3527.3</w:t>
            </w:r>
          </w:p>
        </w:tc>
      </w:tr>
    </w:tbl>
    <w:p>
      <w:pPr>
        <w:pStyle w:val="Heading1"/>
      </w:pPr>
      <w:r>
        <w:t>6. 상태별 정비 방침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정비 방침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현장 조치</w:t>
            </w:r>
          </w:p>
        </w:tc>
      </w:tr>
      <w:tr>
        <w:tc>
          <w:tcPr>
            <w:tcW w:type="dxa" w:w="3360"/>
            <w:vAlign w:val="center"/>
          </w:tcPr>
          <w:p>
            <w:r>
              <w:t>NORMAL</w:t>
            </w:r>
          </w:p>
        </w:tc>
        <w:tc>
          <w:tcPr>
            <w:tcW w:type="dxa" w:w="3360"/>
            <w:vAlign w:val="center"/>
          </w:tcPr>
          <w:p>
            <w:r>
              <w:t>정상 운전 유지</w:t>
            </w:r>
          </w:p>
        </w:tc>
        <w:tc>
          <w:tcPr>
            <w:tcW w:type="dxa" w:w="3360"/>
            <w:vAlign w:val="center"/>
          </w:tcPr>
          <w:p>
            <w:r>
              <w:t>월별 추세 데이터 누적</w:t>
            </w:r>
          </w:p>
        </w:tc>
      </w:tr>
      <w:tr>
        <w:tc>
          <w:tcPr>
            <w:tcW w:type="dxa" w:w="3360"/>
            <w:vAlign w:val="center"/>
          </w:tcPr>
          <w:p>
            <w:r>
              <w:t>WARNING</w:t>
            </w:r>
          </w:p>
        </w:tc>
        <w:tc>
          <w:tcPr>
            <w:tcW w:type="dxa" w:w="3360"/>
            <w:vAlign w:val="center"/>
          </w:tcPr>
          <w:p>
            <w:r>
              <w:t>모니터링 강화</w:t>
            </w:r>
          </w:p>
        </w:tc>
        <w:tc>
          <w:tcPr>
            <w:tcW w:type="dxa" w:w="3360"/>
            <w:vAlign w:val="center"/>
          </w:tcPr>
          <w:p>
            <w:r>
              <w:t>재측정, 운전조건 확인, 체결부 점검</w:t>
            </w:r>
          </w:p>
        </w:tc>
      </w:tr>
      <w:tr>
        <w:tc>
          <w:tcPr>
            <w:tcW w:type="dxa" w:w="3360"/>
            <w:vAlign w:val="center"/>
          </w:tcPr>
          <w:p>
            <w:r>
              <w:t>ALERT</w:t>
            </w:r>
          </w:p>
        </w:tc>
        <w:tc>
          <w:tcPr>
            <w:tcW w:type="dxa" w:w="3360"/>
            <w:vAlign w:val="center"/>
          </w:tcPr>
          <w:p>
            <w:r>
              <w:t>계획정비 수립</w:t>
            </w:r>
          </w:p>
        </w:tc>
        <w:tc>
          <w:tcPr>
            <w:tcW w:type="dxa" w:w="3360"/>
            <w:vAlign w:val="center"/>
          </w:tcPr>
          <w:p>
            <w:r>
              <w:t>밸브 분해점검 계획, Packing/Seat 예비품 확인</w:t>
            </w:r>
          </w:p>
        </w:tc>
      </w:tr>
      <w:tr>
        <w:tc>
          <w:tcPr>
            <w:tcW w:type="dxa" w:w="3360"/>
            <w:vAlign w:val="center"/>
          </w:tcPr>
          <w:p>
            <w:r>
              <w:t>DANGER</w:t>
            </w:r>
          </w:p>
        </w:tc>
        <w:tc>
          <w:tcPr>
            <w:tcW w:type="dxa" w:w="3360"/>
            <w:vAlign w:val="center"/>
          </w:tcPr>
          <w:p>
            <w:r>
              <w:t>즉시 정비 또는 운전 제한</w:t>
            </w:r>
          </w:p>
        </w:tc>
        <w:tc>
          <w:tcPr>
            <w:tcW w:type="dxa" w:w="3360"/>
            <w:vAlign w:val="center"/>
          </w:tcPr>
          <w:p>
            <w:r>
              <w:t>안전조치, 격리, 누설점검, 필요 시 밸브 교체</w:t>
            </w:r>
          </w:p>
        </w:tc>
      </w:tr>
    </w:tbl>
    <w:p/>
    <w:p>
      <w:pPr>
        <w:jc w:val="center"/>
      </w:pPr>
      <w:r>
        <w:rPr>
          <w:b/>
        </w:rPr>
        <w:t>그림 1. RMS Energy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5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그림 2. Dominant Frequency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in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5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그림 3. Spectral Centroid vs RMS Scatter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정비 후 확인사항</w:t>
      </w:r>
    </w:p>
    <w:p>
      <w:pPr>
        <w:pStyle w:val="ListBullet"/>
      </w:pPr>
      <w:r>
        <w:t>정비 전후 RMS 감소 여부 확인</w:t>
      </w:r>
    </w:p>
    <w:p>
      <w:pPr>
        <w:pStyle w:val="ListBullet"/>
      </w:pPr>
      <w:r>
        <w:t>FFT Peak 신규 발생 또는 소멸 여부 확인</w:t>
      </w:r>
    </w:p>
    <w:p>
      <w:pPr>
        <w:pStyle w:val="ListBullet"/>
      </w:pPr>
      <w:r>
        <w:t>Spectral Centroid가 Baseline 영역으로 복귀했는지 확인</w:t>
      </w:r>
    </w:p>
    <w:p>
      <w:pPr>
        <w:pStyle w:val="ListBullet"/>
      </w:pPr>
      <w:r>
        <w:t>Leak Test 또는 압력 유지 시험 결과 기록</w:t>
      </w:r>
    </w:p>
    <w:p>
      <w:pPr>
        <w:pStyle w:val="ListBullet"/>
      </w:pPr>
      <w:r>
        <w:t>정비 이력 및 분석 파일을 Vector DB 업데이트 후보 문서로 저장</w:t>
      </w:r>
    </w:p>
    <w:p>
      <w:pPr>
        <w:pStyle w:val="Heading1"/>
      </w:pPr>
      <w:r>
        <w:t>8. 참고 기준 및 출처</w:t>
      </w:r>
    </w:p>
    <w:p>
      <w:pPr>
        <w:pStyle w:val="ListBullet"/>
      </w:pPr>
      <w:r>
        <w:t>Valve Dataset 분석 결과: 4,170개 WAV, 16 kHz, 8 Channel, 10 sec</w:t>
      </w:r>
    </w:p>
    <w:p>
      <w:pPr>
        <w:pStyle w:val="ListBullet"/>
      </w:pPr>
      <w:r>
        <w:t>ISO 17359: Condition monitoring and diagnostics of machines</w:t>
      </w:r>
    </w:p>
    <w:p>
      <w:pPr>
        <w:pStyle w:val="ListBullet"/>
      </w:pPr>
      <w:r>
        <w:t>ISO 13374: Condition monitoring data processing</w:t>
      </w:r>
    </w:p>
    <w:p>
      <w:pPr>
        <w:pStyle w:val="ListBullet"/>
      </w:pPr>
      <w:r>
        <w:t>ISO 20816: Mechanical vibration evaluation</w:t>
      </w:r>
    </w:p>
    <w:p>
      <w:pPr>
        <w:pStyle w:val="ListBullet"/>
      </w:pPr>
      <w:r>
        <w:t>MIMII Dataset 방법론: 산업기계 음향 이상탐지 공개 데이터셋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