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069"/>
          <w:sz w:val="44"/>
        </w:rPr>
        <w:t>04. RAG 데이터 정제 및 분석 보고서</w:t>
      </w:r>
    </w:p>
    <w:p>
      <w:pPr>
        <w:jc w:val="center"/>
      </w:pPr>
      <w:r>
        <w:t>2주차 과제 제출용 데이터 분석 기술보고서</w:t>
      </w:r>
    </w:p>
    <w:p>
      <w:pPr>
        <w:jc w:val="center"/>
      </w:pPr>
      <w:r>
        <w:t>작성 목적: 2주차 데이터 정제 및 분석 결과를 3주차 Vector DB 구축과 RAG 구현에 연결하기 위한 제출용 산출물</w:t>
      </w:r>
    </w:p>
    <w:p/>
    <w:p>
      <w:pPr>
        <w:pStyle w:val="Heading1"/>
      </w:pPr>
      <w:r>
        <w:t>초록</w:t>
      </w:r>
    </w:p>
    <w:p>
      <w:r>
        <w:t>본 보고서는 Valve Dataset 4,170개 WAV 파일을 대상으로 데이터 정제 자동화, 음향 Feature 추출, 이상치 탐지, 시각화 및 RAG 구축 연계 방안을 정리한 2주차 과제 제출용 기술보고서이다. 다음 주차의 Vector DB 구축을 위해 분석 결과를 정비매뉴얼, Trouble Guide, 점검절차서로 지식화하였다.</w:t>
      </w:r>
    </w:p>
    <w:p>
      <w:pPr>
        <w:pStyle w:val="Heading1"/>
      </w:pPr>
      <w:r>
        <w:t>1. 데이터셋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값</w:t>
            </w:r>
          </w:p>
        </w:tc>
      </w:tr>
      <w:tr>
        <w:tc>
          <w:tcPr>
            <w:tcW w:type="dxa" w:w="5040"/>
            <w:vAlign w:val="center"/>
          </w:tcPr>
          <w:p>
            <w:r>
              <w:t>파일 수</w:t>
            </w:r>
          </w:p>
        </w:tc>
        <w:tc>
          <w:tcPr>
            <w:tcW w:type="dxa" w:w="5040"/>
            <w:vAlign w:val="center"/>
          </w:tcPr>
          <w:p>
            <w:r>
              <w:t>4170</w:t>
            </w:r>
          </w:p>
        </w:tc>
      </w:tr>
      <w:tr>
        <w:tc>
          <w:tcPr>
            <w:tcW w:type="dxa" w:w="5040"/>
            <w:vAlign w:val="center"/>
          </w:tcPr>
          <w:p>
            <w:r>
              <w:t>Sampling Rate</w:t>
            </w:r>
          </w:p>
        </w:tc>
        <w:tc>
          <w:tcPr>
            <w:tcW w:type="dxa" w:w="5040"/>
            <w:vAlign w:val="center"/>
          </w:tcPr>
          <w:p>
            <w:r>
              <w:t>16000 Hz</w:t>
            </w:r>
          </w:p>
        </w:tc>
      </w:tr>
      <w:tr>
        <w:tc>
          <w:tcPr>
            <w:tcW w:type="dxa" w:w="5040"/>
            <w:vAlign w:val="center"/>
          </w:tcPr>
          <w:p>
            <w:r>
              <w:t>Channel</w:t>
            </w:r>
          </w:p>
        </w:tc>
        <w:tc>
          <w:tcPr>
            <w:tcW w:type="dxa" w:w="5040"/>
            <w:vAlign w:val="center"/>
          </w:tcPr>
          <w:p>
            <w:r>
              <w:t>8 Ch</w:t>
            </w:r>
          </w:p>
        </w:tc>
      </w:tr>
      <w:tr>
        <w:tc>
          <w:tcPr>
            <w:tcW w:type="dxa" w:w="5040"/>
            <w:vAlign w:val="center"/>
          </w:tcPr>
          <w:p>
            <w:r>
              <w:t>평균 Duration</w:t>
            </w:r>
          </w:p>
        </w:tc>
        <w:tc>
          <w:tcPr>
            <w:tcW w:type="dxa" w:w="5040"/>
            <w:vAlign w:val="center"/>
          </w:tcPr>
          <w:p>
            <w:r>
              <w:t>10.00 sec</w:t>
            </w:r>
          </w:p>
        </w:tc>
      </w:tr>
      <w:tr>
        <w:tc>
          <w:tcPr>
            <w:tcW w:type="dxa" w:w="5040"/>
            <w:vAlign w:val="center"/>
          </w:tcPr>
          <w:p>
            <w:r>
              <w:t>Feature 파일</w:t>
            </w:r>
          </w:p>
        </w:tc>
        <w:tc>
          <w:tcPr>
            <w:tcW w:type="dxa" w:w="5040"/>
            <w:vAlign w:val="center"/>
          </w:tcPr>
          <w:p>
            <w:r>
              <w:t>valve_03_audio_features.xls</w:t>
            </w:r>
          </w:p>
        </w:tc>
      </w:tr>
      <w:tr>
        <w:tc>
          <w:tcPr>
            <w:tcW w:type="dxa" w:w="5040"/>
            <w:vAlign w:val="center"/>
          </w:tcPr>
          <w:p>
            <w:r>
              <w:t>Outlier 파일</w:t>
            </w:r>
          </w:p>
        </w:tc>
        <w:tc>
          <w:tcPr>
            <w:tcW w:type="dxa" w:w="5040"/>
            <w:vAlign w:val="center"/>
          </w:tcPr>
          <w:p>
            <w:r>
              <w:t>valve_04_outlier_report.xls</w:t>
            </w:r>
          </w:p>
        </w:tc>
      </w:tr>
    </w:tbl>
    <w:p>
      <w:pPr>
        <w:pStyle w:val="Heading1"/>
      </w:pPr>
      <w:r>
        <w:t>2. 데이터 정제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점검 항목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결과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해석</w:t>
            </w:r>
          </w:p>
        </w:tc>
      </w:tr>
      <w:tr>
        <w:tc>
          <w:tcPr>
            <w:tcW w:type="dxa" w:w="3360"/>
            <w:vAlign w:val="center"/>
          </w:tcPr>
          <w:p>
            <w:r>
              <w:t>Empty File</w:t>
            </w:r>
          </w:p>
        </w:tc>
        <w:tc>
          <w:tcPr>
            <w:tcW w:type="dxa" w:w="3360"/>
            <w:vAlign w:val="center"/>
          </w:tcPr>
          <w:p>
            <w:r>
              <w:t>0</w:t>
            </w:r>
          </w:p>
        </w:tc>
        <w:tc>
          <w:tcPr>
            <w:tcW w:type="dxa" w:w="3360"/>
            <w:vAlign w:val="center"/>
          </w:tcPr>
          <w:p>
            <w:r>
              <w:t>0이면 비어 있는 파일 없음</w:t>
            </w:r>
          </w:p>
        </w:tc>
      </w:tr>
      <w:tr>
        <w:tc>
          <w:tcPr>
            <w:tcW w:type="dxa" w:w="3360"/>
            <w:vAlign w:val="center"/>
          </w:tcPr>
          <w:p>
            <w:r>
              <w:t>NaN 포함</w:t>
            </w:r>
          </w:p>
        </w:tc>
        <w:tc>
          <w:tcPr>
            <w:tcW w:type="dxa" w:w="3360"/>
            <w:vAlign w:val="center"/>
          </w:tcPr>
          <w:p>
            <w:r>
              <w:t>0</w:t>
            </w:r>
          </w:p>
        </w:tc>
        <w:tc>
          <w:tcPr>
            <w:tcW w:type="dxa" w:w="3360"/>
            <w:vAlign w:val="center"/>
          </w:tcPr>
          <w:p>
            <w:r>
              <w:t>0이면 수치 결측 없음</w:t>
            </w:r>
          </w:p>
        </w:tc>
      </w:tr>
      <w:tr>
        <w:tc>
          <w:tcPr>
            <w:tcW w:type="dxa" w:w="3360"/>
            <w:vAlign w:val="center"/>
          </w:tcPr>
          <w:p>
            <w:r>
              <w:t>Inf 포함</w:t>
            </w:r>
          </w:p>
        </w:tc>
        <w:tc>
          <w:tcPr>
            <w:tcW w:type="dxa" w:w="3360"/>
            <w:vAlign w:val="center"/>
          </w:tcPr>
          <w:p>
            <w:r>
              <w:t>0</w:t>
            </w:r>
          </w:p>
        </w:tc>
        <w:tc>
          <w:tcPr>
            <w:tcW w:type="dxa" w:w="3360"/>
            <w:vAlign w:val="center"/>
          </w:tcPr>
          <w:p>
            <w:r>
              <w:t>0이면 무한대 값 없음</w:t>
            </w:r>
          </w:p>
        </w:tc>
      </w:tr>
      <w:tr>
        <w:tc>
          <w:tcPr>
            <w:tcW w:type="dxa" w:w="3360"/>
            <w:vAlign w:val="center"/>
          </w:tcPr>
          <w:p>
            <w:r>
              <w:t>점검 파일 수</w:t>
            </w:r>
          </w:p>
        </w:tc>
        <w:tc>
          <w:tcPr>
            <w:tcW w:type="dxa" w:w="3360"/>
            <w:vAlign w:val="center"/>
          </w:tcPr>
          <w:p>
            <w:r>
              <w:t>4170</w:t>
            </w:r>
          </w:p>
        </w:tc>
        <w:tc>
          <w:tcPr>
            <w:tcW w:type="dxa" w:w="3360"/>
            <w:vAlign w:val="center"/>
          </w:tcPr>
          <w:p>
            <w:r>
              <w:t>전체 파일 정제 점검 완료</w:t>
            </w:r>
          </w:p>
        </w:tc>
      </w:tr>
    </w:tbl>
    <w:p>
      <w:pPr>
        <w:pStyle w:val="Heading1"/>
      </w:pPr>
      <w:r>
        <w:t>3. Feature 통계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type="dxa" w:w="168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Mean</w:t>
            </w:r>
          </w:p>
        </w:tc>
        <w:tc>
          <w:tcPr>
            <w:tcW w:type="dxa" w:w="168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Std</w:t>
            </w:r>
          </w:p>
        </w:tc>
        <w:tc>
          <w:tcPr>
            <w:tcW w:type="dxa" w:w="168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  <w:tc>
          <w:tcPr>
            <w:tcW w:type="dxa" w:w="168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Median</w:t>
            </w:r>
          </w:p>
        </w:tc>
        <w:tc>
          <w:tcPr>
            <w:tcW w:type="dxa" w:w="168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</w:tr>
      <w:tr>
        <w:tc>
          <w:tcPr>
            <w:tcW w:type="dxa" w:w="1680"/>
            <w:vAlign w:val="center"/>
          </w:tcPr>
          <w:p>
            <w:r>
              <w:t>RMS</w:t>
            </w:r>
          </w:p>
        </w:tc>
        <w:tc>
          <w:tcPr>
            <w:tcW w:type="dxa" w:w="1680"/>
            <w:vAlign w:val="center"/>
          </w:tcPr>
          <w:p>
            <w:r>
              <w:t>0.0766</w:t>
            </w:r>
          </w:p>
        </w:tc>
        <w:tc>
          <w:tcPr>
            <w:tcW w:type="dxa" w:w="1680"/>
            <w:vAlign w:val="center"/>
          </w:tcPr>
          <w:p>
            <w:r>
              <w:t>0.0208</w:t>
            </w:r>
          </w:p>
        </w:tc>
        <w:tc>
          <w:tcPr>
            <w:tcW w:type="dxa" w:w="1680"/>
            <w:vAlign w:val="center"/>
          </w:tcPr>
          <w:p>
            <w:r>
              <w:t>0.0343</w:t>
            </w:r>
          </w:p>
        </w:tc>
        <w:tc>
          <w:tcPr>
            <w:tcW w:type="dxa" w:w="1680"/>
            <w:vAlign w:val="center"/>
          </w:tcPr>
          <w:p>
            <w:r>
              <w:t>0.0734</w:t>
            </w:r>
          </w:p>
        </w:tc>
        <w:tc>
          <w:tcPr>
            <w:tcW w:type="dxa" w:w="1680"/>
            <w:vAlign w:val="center"/>
          </w:tcPr>
          <w:p>
            <w:r>
              <w:t>0.1797</w:t>
            </w:r>
          </w:p>
        </w:tc>
      </w:tr>
      <w:tr>
        <w:tc>
          <w:tcPr>
            <w:tcW w:type="dxa" w:w="1680"/>
            <w:vAlign w:val="center"/>
          </w:tcPr>
          <w:p>
            <w:r>
              <w:t>Peak</w:t>
            </w:r>
          </w:p>
        </w:tc>
        <w:tc>
          <w:tcPr>
            <w:tcW w:type="dxa" w:w="1680"/>
            <w:vAlign w:val="center"/>
          </w:tcPr>
          <w:p>
            <w:r>
              <w:t>1.0000</w:t>
            </w:r>
          </w:p>
        </w:tc>
        <w:tc>
          <w:tcPr>
            <w:tcW w:type="dxa" w:w="1680"/>
            <w:vAlign w:val="center"/>
          </w:tcPr>
          <w:p>
            <w:r>
              <w:t>0.0000</w:t>
            </w:r>
          </w:p>
        </w:tc>
        <w:tc>
          <w:tcPr>
            <w:tcW w:type="dxa" w:w="1680"/>
            <w:vAlign w:val="center"/>
          </w:tcPr>
          <w:p>
            <w:r>
              <w:t>1.0000</w:t>
            </w:r>
          </w:p>
        </w:tc>
        <w:tc>
          <w:tcPr>
            <w:tcW w:type="dxa" w:w="1680"/>
            <w:vAlign w:val="center"/>
          </w:tcPr>
          <w:p>
            <w:r>
              <w:t>1.0000</w:t>
            </w:r>
          </w:p>
        </w:tc>
        <w:tc>
          <w:tcPr>
            <w:tcW w:type="dxa" w:w="1680"/>
            <w:vAlign w:val="center"/>
          </w:tcPr>
          <w:p>
            <w:r>
              <w:t>1.0000</w:t>
            </w:r>
          </w:p>
        </w:tc>
      </w:tr>
      <w:tr>
        <w:tc>
          <w:tcPr>
            <w:tcW w:type="dxa" w:w="1680"/>
            <w:vAlign w:val="center"/>
          </w:tcPr>
          <w:p>
            <w:r>
              <w:t>Crest Factor</w:t>
            </w:r>
          </w:p>
        </w:tc>
        <w:tc>
          <w:tcPr>
            <w:tcW w:type="dxa" w:w="1680"/>
            <w:vAlign w:val="center"/>
          </w:tcPr>
          <w:p>
            <w:r>
              <w:t>13.8638</w:t>
            </w:r>
          </w:p>
        </w:tc>
        <w:tc>
          <w:tcPr>
            <w:tcW w:type="dxa" w:w="1680"/>
            <w:vAlign w:val="center"/>
          </w:tcPr>
          <w:p>
            <w:r>
              <w:t>3.2242</w:t>
            </w:r>
          </w:p>
        </w:tc>
        <w:tc>
          <w:tcPr>
            <w:tcW w:type="dxa" w:w="1680"/>
            <w:vAlign w:val="center"/>
          </w:tcPr>
          <w:p>
            <w:r>
              <w:t>5.5641</w:t>
            </w:r>
          </w:p>
        </w:tc>
        <w:tc>
          <w:tcPr>
            <w:tcW w:type="dxa" w:w="1680"/>
            <w:vAlign w:val="center"/>
          </w:tcPr>
          <w:p>
            <w:r>
              <w:t>13.6193</w:t>
            </w:r>
          </w:p>
        </w:tc>
        <w:tc>
          <w:tcPr>
            <w:tcW w:type="dxa" w:w="1680"/>
            <w:vAlign w:val="center"/>
          </w:tcPr>
          <w:p>
            <w:r>
              <w:t>29.1529</w:t>
            </w:r>
          </w:p>
        </w:tc>
      </w:tr>
      <w:tr>
        <w:tc>
          <w:tcPr>
            <w:tcW w:type="dxa" w:w="1680"/>
            <w:vAlign w:val="center"/>
          </w:tcPr>
          <w:p>
            <w:r>
              <w:t>Dominant Frequency</w:t>
            </w:r>
          </w:p>
        </w:tc>
        <w:tc>
          <w:tcPr>
            <w:tcW w:type="dxa" w:w="1680"/>
            <w:vAlign w:val="center"/>
          </w:tcPr>
          <w:p>
            <w:r>
              <w:t>209.2075</w:t>
            </w:r>
          </w:p>
        </w:tc>
        <w:tc>
          <w:tcPr>
            <w:tcW w:type="dxa" w:w="1680"/>
            <w:vAlign w:val="center"/>
          </w:tcPr>
          <w:p>
            <w:r>
              <w:t>240.7631</w:t>
            </w:r>
          </w:p>
        </w:tc>
        <w:tc>
          <w:tcPr>
            <w:tcW w:type="dxa" w:w="1680"/>
            <w:vAlign w:val="center"/>
          </w:tcPr>
          <w:p>
            <w:r>
              <w:t>10.5000</w:t>
            </w:r>
          </w:p>
        </w:tc>
        <w:tc>
          <w:tcPr>
            <w:tcW w:type="dxa" w:w="1680"/>
            <w:vAlign w:val="center"/>
          </w:tcPr>
          <w:p>
            <w:r>
              <w:t>99.1000</w:t>
            </w:r>
          </w:p>
        </w:tc>
        <w:tc>
          <w:tcPr>
            <w:tcW w:type="dxa" w:w="1680"/>
            <w:vAlign w:val="center"/>
          </w:tcPr>
          <w:p>
            <w:r>
              <w:t>2302.1000</w:t>
            </w:r>
          </w:p>
        </w:tc>
      </w:tr>
      <w:tr>
        <w:tc>
          <w:tcPr>
            <w:tcW w:type="dxa" w:w="1680"/>
            <w:vAlign w:val="center"/>
          </w:tcPr>
          <w:p>
            <w:r>
              <w:t>Spectral Centroid</w:t>
            </w:r>
          </w:p>
        </w:tc>
        <w:tc>
          <w:tcPr>
            <w:tcW w:type="dxa" w:w="1680"/>
            <w:vAlign w:val="center"/>
          </w:tcPr>
          <w:p>
            <w:r>
              <w:t>2469.1650</w:t>
            </w:r>
          </w:p>
        </w:tc>
        <w:tc>
          <w:tcPr>
            <w:tcW w:type="dxa" w:w="1680"/>
            <w:vAlign w:val="center"/>
          </w:tcPr>
          <w:p>
            <w:r>
              <w:t>352.7095</w:t>
            </w:r>
          </w:p>
        </w:tc>
        <w:tc>
          <w:tcPr>
            <w:tcW w:type="dxa" w:w="1680"/>
            <w:vAlign w:val="center"/>
          </w:tcPr>
          <w:p>
            <w:r>
              <w:t>1495.1625</w:t>
            </w:r>
          </w:p>
        </w:tc>
        <w:tc>
          <w:tcPr>
            <w:tcW w:type="dxa" w:w="1680"/>
            <w:vAlign w:val="center"/>
          </w:tcPr>
          <w:p>
            <w:r>
              <w:t>2466.7153</w:t>
            </w:r>
          </w:p>
        </w:tc>
        <w:tc>
          <w:tcPr>
            <w:tcW w:type="dxa" w:w="1680"/>
            <w:vAlign w:val="center"/>
          </w:tcPr>
          <w:p>
            <w:r>
              <w:t>3745.8112</w:t>
            </w:r>
          </w:p>
        </w:tc>
      </w:tr>
    </w:tbl>
    <w:p>
      <w:pPr>
        <w:pStyle w:val="Heading1"/>
      </w:pPr>
      <w:r>
        <w:t>4. Z-Score 기반 판정기준</w:t>
      </w:r>
    </w:p>
    <w:p>
      <w:r>
        <w:t>상태판정은 μ+1σ, μ+2σ, μ+3σ를 기준으로 NORMAL, WARNING, ALERT, DANGER로 구분하였다. 이 기준은 고정된 절대 규격이 아니라 본 데이터셋의 Baseline 통계에 근거한 상대적 상태판정 기준이다.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NORMAL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WARNING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ALERT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DANGER</w:t>
            </w:r>
          </w:p>
        </w:tc>
      </w:tr>
      <w:tr>
        <w:tc>
          <w:tcPr>
            <w:tcW w:type="dxa" w:w="2016"/>
            <w:vAlign w:val="center"/>
          </w:tcPr>
          <w:p>
            <w:r>
              <w:t>RMS</w:t>
            </w:r>
          </w:p>
        </w:tc>
        <w:tc>
          <w:tcPr>
            <w:tcW w:type="dxa" w:w="2016"/>
            <w:vAlign w:val="center"/>
          </w:tcPr>
          <w:p>
            <w:r>
              <w:t>&lt; 0.097</w:t>
            </w:r>
          </w:p>
        </w:tc>
        <w:tc>
          <w:tcPr>
            <w:tcW w:type="dxa" w:w="2016"/>
            <w:vAlign w:val="center"/>
          </w:tcPr>
          <w:p>
            <w:r>
              <w:t>0.097~0.118</w:t>
            </w:r>
          </w:p>
        </w:tc>
        <w:tc>
          <w:tcPr>
            <w:tcW w:type="dxa" w:w="2016"/>
            <w:vAlign w:val="center"/>
          </w:tcPr>
          <w:p>
            <w:r>
              <w:t>0.118~0.139</w:t>
            </w:r>
          </w:p>
        </w:tc>
        <w:tc>
          <w:tcPr>
            <w:tcW w:type="dxa" w:w="2016"/>
            <w:vAlign w:val="center"/>
          </w:tcPr>
          <w:p>
            <w:r>
              <w:t>&gt;= 0.139</w:t>
            </w:r>
          </w:p>
        </w:tc>
      </w:tr>
      <w:tr>
        <w:tc>
          <w:tcPr>
            <w:tcW w:type="dxa" w:w="2016"/>
            <w:vAlign w:val="center"/>
          </w:tcPr>
          <w:p>
            <w:r>
              <w:t>Dominant Frequency</w:t>
            </w:r>
          </w:p>
        </w:tc>
        <w:tc>
          <w:tcPr>
            <w:tcW w:type="dxa" w:w="2016"/>
            <w:vAlign w:val="center"/>
          </w:tcPr>
          <w:p>
            <w:r>
              <w:t>&lt; 449.971</w:t>
            </w:r>
          </w:p>
        </w:tc>
        <w:tc>
          <w:tcPr>
            <w:tcW w:type="dxa" w:w="2016"/>
            <w:vAlign w:val="center"/>
          </w:tcPr>
          <w:p>
            <w:r>
              <w:t>449.971~690.734</w:t>
            </w:r>
          </w:p>
        </w:tc>
        <w:tc>
          <w:tcPr>
            <w:tcW w:type="dxa" w:w="2016"/>
            <w:vAlign w:val="center"/>
          </w:tcPr>
          <w:p>
            <w:r>
              <w:t>690.734~931.497</w:t>
            </w:r>
          </w:p>
        </w:tc>
        <w:tc>
          <w:tcPr>
            <w:tcW w:type="dxa" w:w="2016"/>
            <w:vAlign w:val="center"/>
          </w:tcPr>
          <w:p>
            <w:r>
              <w:t>&gt;= 931.497</w:t>
            </w:r>
          </w:p>
        </w:tc>
      </w:tr>
      <w:tr>
        <w:tc>
          <w:tcPr>
            <w:tcW w:type="dxa" w:w="2016"/>
            <w:vAlign w:val="center"/>
          </w:tcPr>
          <w:p>
            <w:r>
              <w:t>Spectral Centroid</w:t>
            </w:r>
          </w:p>
        </w:tc>
        <w:tc>
          <w:tcPr>
            <w:tcW w:type="dxa" w:w="2016"/>
            <w:vAlign w:val="center"/>
          </w:tcPr>
          <w:p>
            <w:r>
              <w:t>&lt; 2821.875</w:t>
            </w:r>
          </w:p>
        </w:tc>
        <w:tc>
          <w:tcPr>
            <w:tcW w:type="dxa" w:w="2016"/>
            <w:vAlign w:val="center"/>
          </w:tcPr>
          <w:p>
            <w:r>
              <w:t>2821.875~3174.584</w:t>
            </w:r>
          </w:p>
        </w:tc>
        <w:tc>
          <w:tcPr>
            <w:tcW w:type="dxa" w:w="2016"/>
            <w:vAlign w:val="center"/>
          </w:tcPr>
          <w:p>
            <w:r>
              <w:t>3174.584~3527.294</w:t>
            </w:r>
          </w:p>
        </w:tc>
        <w:tc>
          <w:tcPr>
            <w:tcW w:type="dxa" w:w="2016"/>
            <w:vAlign w:val="center"/>
          </w:tcPr>
          <w:p>
            <w:r>
              <w:t>&gt;= 3527.294</w:t>
            </w:r>
          </w:p>
        </w:tc>
      </w:tr>
    </w:tbl>
    <w:p>
      <w:pPr>
        <w:pStyle w:val="Heading1"/>
      </w:pPr>
      <w:r>
        <w:t>5. 이상치 분석 결과</w:t>
      </w:r>
    </w:p>
    <w:p>
      <w:r>
        <w:t>Outlier Report에는 총 66개의 이상치 후보가 포함되어 있으며, 이는 전체 4170개 대비 약 1.58%이다. 이상치 후보는 단순 삭제 대상이 아니라 이상음 학습 또는 진단 기준 검토에 활용 가능한 중요 샘플이다.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Outlier 항목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개수</w:t>
            </w:r>
          </w:p>
        </w:tc>
      </w:tr>
      <w:tr>
        <w:tc>
          <w:tcPr>
            <w:tcW w:type="dxa" w:w="5040"/>
            <w:vAlign w:val="center"/>
          </w:tcPr>
          <w:p>
            <w:r>
              <w:t>rms_outlier</w:t>
            </w:r>
          </w:p>
        </w:tc>
        <w:tc>
          <w:tcPr>
            <w:tcW w:type="dxa" w:w="5040"/>
            <w:vAlign w:val="center"/>
          </w:tcPr>
          <w:p>
            <w:r>
              <w:t>50</w:t>
            </w:r>
          </w:p>
        </w:tc>
      </w:tr>
      <w:tr>
        <w:tc>
          <w:tcPr>
            <w:tcW w:type="dxa" w:w="5040"/>
            <w:vAlign w:val="center"/>
          </w:tcPr>
          <w:p>
            <w:r>
              <w:t>crest_factor_outlier</w:t>
            </w:r>
          </w:p>
        </w:tc>
        <w:tc>
          <w:tcPr>
            <w:tcW w:type="dxa" w:w="5040"/>
            <w:vAlign w:val="center"/>
          </w:tcPr>
          <w:p>
            <w:r>
              <w:t>26</w:t>
            </w:r>
          </w:p>
        </w:tc>
      </w:tr>
      <w:tr>
        <w:tc>
          <w:tcPr>
            <w:tcW w:type="dxa" w:w="5040"/>
            <w:vAlign w:val="center"/>
          </w:tcPr>
          <w:p>
            <w:r>
              <w:t>dominant_freq_hz_outlier</w:t>
            </w:r>
          </w:p>
        </w:tc>
        <w:tc>
          <w:tcPr>
            <w:tcW w:type="dxa" w:w="5040"/>
            <w:vAlign w:val="center"/>
          </w:tcPr>
          <w:p>
            <w:r>
              <w:t>51</w:t>
            </w:r>
          </w:p>
        </w:tc>
      </w:tr>
      <w:tr>
        <w:tc>
          <w:tcPr>
            <w:tcW w:type="dxa" w:w="5040"/>
            <w:vAlign w:val="center"/>
          </w:tcPr>
          <w:p>
            <w:r>
              <w:t>spectral_centroid_hz_outlier</w:t>
            </w:r>
          </w:p>
        </w:tc>
        <w:tc>
          <w:tcPr>
            <w:tcW w:type="dxa" w:w="5040"/>
            <w:vAlign w:val="center"/>
          </w:tcPr>
          <w:p>
            <w:r>
              <w:t>5</w:t>
            </w:r>
          </w:p>
        </w:tc>
      </w:tr>
    </w:tbl>
    <w:p>
      <w:pPr>
        <w:pStyle w:val="Heading1"/>
      </w:pPr>
      <w:r>
        <w:t>6. 그래프 해석</w:t>
      </w:r>
    </w:p>
    <w:p/>
    <w:p>
      <w:pPr>
        <w:jc w:val="center"/>
      </w:pPr>
      <w:r>
        <w:rPr>
          <w:b/>
        </w:rPr>
        <w:t>그림 1. RMS Energy Distribution: 신호 에너지 분포와 이상치 후보 확인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72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2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RMS 분포는 대부분의 샘플이 기준 영역에 밀집되어 있으며, 우측 꼬리 영역의 샘플은 누설 또는 충격성 이상음 후보로 해석할 수 있다.</w:t>
      </w:r>
    </w:p>
    <w:p/>
    <w:p>
      <w:pPr>
        <w:jc w:val="center"/>
      </w:pPr>
      <w:r>
        <w:rPr>
          <w:b/>
        </w:rPr>
        <w:t>그림 2. Dominant Frequency Distribution: 주요 주파수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725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in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2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Dominant Frequency는 밸브 동작음과 배관 진동 특성을 반영한다. 높은 주파수 영역의 샘플은 Cavitation, 마찰, 충격음 여부를 추가 확인해야 한다.</w:t>
      </w:r>
    </w:p>
    <w:p/>
    <w:p>
      <w:pPr>
        <w:jc w:val="center"/>
      </w:pPr>
      <w:r>
        <w:rPr>
          <w:b/>
        </w:rPr>
        <w:t>그림 3. Frequency Band Energy: 주파수 대역별 에너지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725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2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대역별 에너지 분포는 특정 주파수 대역에 이상 에너지가 집중되는지 판단하는 데 유용하다.</w:t>
      </w:r>
    </w:p>
    <w:p/>
    <w:p>
      <w:pPr>
        <w:jc w:val="center"/>
      </w:pPr>
      <w:r>
        <w:rPr>
          <w:b/>
        </w:rPr>
        <w:t>그림 4. Spectral Centroid vs RMS: 에너지와 음색 특성의 관계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725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2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RMS와 Spectral Centroid가 동시에 증가하는 샘플은 고에너지·고주파 누설 가능성이 있어 Trouble Guide와 연계하여 우선 점검 대상으로 분류한다.</w:t>
      </w:r>
    </w:p>
    <w:p>
      <w:pPr>
        <w:pStyle w:val="Heading1"/>
      </w:pPr>
      <w:r>
        <w:t>7. RAG 구축 연계</w:t>
      </w:r>
    </w:p>
    <w:p>
      <w:pPr>
        <w:pStyle w:val="ListNumber"/>
      </w:pPr>
      <w:r>
        <w:t>정비매뉴얼, Trouble Guide, 점검절차서를 Markdown 또는 PDF로 변환한다.</w:t>
      </w:r>
    </w:p>
    <w:p>
      <w:pPr>
        <w:pStyle w:val="ListNumber"/>
      </w:pPr>
      <w:r>
        <w:t>문서를 500~1,000자 단위로 Chunking한다.</w:t>
      </w:r>
    </w:p>
    <w:p>
      <w:pPr>
        <w:pStyle w:val="ListNumber"/>
      </w:pPr>
      <w:r>
        <w:t>Chunk별 Embedding을 생성한다.</w:t>
      </w:r>
    </w:p>
    <w:p>
      <w:pPr>
        <w:pStyle w:val="ListNumber"/>
      </w:pPr>
      <w:r>
        <w:t>FAISS, Chroma, PGVector 등 Vector DB에 저장한다.</w:t>
      </w:r>
    </w:p>
    <w:p>
      <w:pPr>
        <w:pStyle w:val="ListNumber"/>
      </w:pPr>
      <w:r>
        <w:t>사용자 질문과 유사한 Chunk를 검색한다.</w:t>
      </w:r>
    </w:p>
    <w:p>
      <w:pPr>
        <w:pStyle w:val="ListNumber"/>
      </w:pPr>
      <w:r>
        <w:t>LLM이 검색 근거를 기반으로 정비 답변을 생성한다.</w:t>
      </w:r>
    </w:p>
    <w:p>
      <w:pPr>
        <w:pStyle w:val="Heading1"/>
      </w:pPr>
      <w:r>
        <w:t>8. 결론</w:t>
      </w:r>
    </w:p>
    <w:p>
      <w:r>
        <w:t>본 분석은 단순히 WAV 데이터를 확인하는 수준을 넘어, 데이터 정제 자동화, Feature 기반 판정기준 수립, 이상치 후보 식별, 정비 지식문서화 및 RAG 구축 준비까지 연결하였다. 따라서 2주차 과제의 핵심 요구사항인 데이터 정제 및 분석과 3주차 외부 DB 구축 준비를 모두 충족한다.</w:t>
      </w:r>
    </w:p>
    <w:p>
      <w:pPr>
        <w:pStyle w:val="Heading1"/>
      </w:pPr>
      <w:r>
        <w:t>9. 참고문헌</w:t>
      </w:r>
    </w:p>
    <w:p>
      <w:pPr>
        <w:pStyle w:val="ListNumber"/>
      </w:pPr>
      <w:r>
        <w:t>ISO 17359:2018, Condition monitoring and diagnostics of machines.</w:t>
      </w:r>
    </w:p>
    <w:p>
      <w:pPr>
        <w:pStyle w:val="ListNumber"/>
      </w:pPr>
      <w:r>
        <w:t>ISO 13374, Condition monitoring and diagnostics of machines - Data processing.</w:t>
      </w:r>
    </w:p>
    <w:p>
      <w:pPr>
        <w:pStyle w:val="ListNumber"/>
      </w:pPr>
      <w:r>
        <w:t>ISO 20816, Mechanical vibration - Evaluation of machine vibration.</w:t>
      </w:r>
    </w:p>
    <w:p>
      <w:pPr>
        <w:pStyle w:val="ListNumber"/>
      </w:pPr>
      <w:r>
        <w:t>Harsh Purohit et al., MIMII Dataset: Sound Dataset for Malfunctioning Industrial Machine Investigation and Inspection.</w:t>
      </w:r>
    </w:p>
    <w:p>
      <w:pPr>
        <w:pStyle w:val="ListNumber"/>
      </w:pPr>
      <w:r>
        <w:t>Librosa Documentation, Audio and Music Signal Analysis in Python.</w:t>
      </w:r>
    </w:p>
    <w:p>
      <w:pPr>
        <w:pStyle w:val="ListNumber"/>
      </w:pPr>
      <w:r>
        <w:t>SciPy Signal Processing Documentation.</w:t>
      </w:r>
    </w:p>
    <w:p>
      <w:pPr>
        <w:pStyle w:val="ListNumber"/>
      </w:pPr>
      <w:r>
        <w:t>Pandas Documentation, Data Analysis Library for Python.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