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settings+xml" PartName="/word/settings.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Types>
</file>

<file path=_rels/.rels><?xml version="1.0" encoding="UTF-8" standalone="yes"?><Relationships xmlns="http://schemas.openxmlformats.org/package/2006/relationships"><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tbl>
      <w:tblPr>
        <w:tblW w:w="4147" w:type="dxa"/>
        <w:tblInd w:w="6687"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CellMar>
          <w:top w:w="120" w:type="dxa"/>
          <w:left w:w="120" w:type="dxa"/>
          <w:bottom w:w="120" w:type="dxa"/>
          <w:right w:w="120" w:type="dxa"/>
        </w:tblCellMar>
      </w:tblPr>
      <w:tblGrid>
        <w:gridCol w:w="4147"/>
      </w:tblGrid>
      <w:tr>
        <w:tc>
          <w:tcPr>
            <w:tcW w:w="4147" w:type="dxa"/>
          </w:tcPr>
          <w:p>
            <w:pPr>
              <w:ind w:left="0" w:right="0" w:firstLine="0"/>
              <w:jc w:val="center"/>
              <w:rPr>
                <w:rFonts w:ascii="Times New Roman" w:cs="Times New Roman" w:eastAsia="Times New Roman" w:hAnsi="Times New Roman"/>
                <w:b w:val="0"/>
                <w:i w:val="0"/>
                <w:smallCaps w:val="0"/>
                <w:strike w:val="0"/>
                <w:color w:val="000000"/>
                <w:sz w:val="22"/>
                <w:vertAlign w:val="baseline"/>
              </w:rP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THIS IS A BINDING CONTRACT. PLEASE READ IT CAREFULLY.</w:t>
            </w:r>
          </w:p>
        </w:tc>
      </w:tr>
    </w:tbl>
    <w:p w:rsidR="00000000" w:rsidDel="00000000" w:rsidP="00000000" w:rsidRDefault="00000000" w:rsidRPr="00000000" w14:paraId="00000002">
      <w:pPr>
        <w:keepNext w:val="0"/>
        <w:keepLines w:val="0"/>
        <w:pageBreakBefore w:val="0"/>
        <w:widowControl w:val="0"/>
        <w:shd w:fill="auto" w:val="clear"/>
        <w:spacing w:before="0" w:after="0" w:line="20" w:lineRule="exact"/>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004">
      <w:pPr>
        <w:pStyle w:val="Heading3"/>
        <w:spacing w:before="91" w:lineRule="auto"/>
        <w:ind w:left="3157" w:right="3155" w:firstLine="0"/>
        <w:jc w:val="center"/>
        <w:rPr/>
      </w:pPr>
      <w:r w:rsidDel="00000000" w:rsidR="00000000" w:rsidRPr="00000000">
        <w:rPr>
          <w:rtl w:val="0"/>
        </w:rPr>
        <w:t xml:space="preserve">NEW YORK RESIDENTIAL LEASE AGREEMENT FOR A UNIT NOT SUBJECT TO REGULATION</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00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PARTIES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New York Residential Lease Agreement together with the Additional Terms as defined below (collectively the “Lease”) is made and entered into this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“Effective Date”),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(individually and collectively, the “Tenant”). Landlord and Tenant (collectively, the “Parties”) hereby agree as follows: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51"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RENTAL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rents to Tenant and Tenant rents from Landlord for private residential living purposes only, the dwelling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“Unit”), subject to the terms and conditions of this Lease. For purposes of this Lease, any reference to the building where the Unit is located includes the structure and common areas within the building (the “Building”), and the community includes the grounds, parking and storage areas, common areas, Building, other buildings and recreational areas, if any, of the rental community where the Unit is located (the “Community”). If there are any Community services outside of the Unit that are either required by law or available for an additional charge, they are described in a Rider to this Lease.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OCCUPANTS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Only the following individuals are authorized to reside in the Unit: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“Occupants”). No persons other than those permitted under Real Property Law § 235-f shall be permitted to live in the Unit. It is a substantial obligation under this Lease that Tenant not have more persons in occupancy than are permitted under local law, regardless of whether the local municipality places a violation for overcrowding. It is a substantial obligation under this Lease that Tenant provide to Landlord written notice within thirty days of any additional person taking up occupancy in the Unit, regardless of whether such person is a minor or of age.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TERM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term of the rental shall commence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{{lease.commencement_date}}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“Commencement Date”) and shall end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{{lease.end_date}}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{{lease.end_time}}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“End Date”). In the event Landlord intends to offer the right to renew this Lease, which is in the sole discretion of Landlord, and the Rent is to increase in an amount equal to or greater than five percent (5%) above the then current Rent, or Landlord does not intend to renew this Lease, then Landlord shall provide Tenant with the following written notice: (a) if Tenant has occupied the Unit for less than one year and does not have a lease term of at least one year, Landlord shall provide at least 30 days’ notice; (ii) if Tenant has occupied the Unit for more than one year but less than two years, or has a Lease Term of at least one year but less than two years, Landlord shall provide at least 60 days’ notice; or (iii) if Tenant has occupied the Unit for more than two years or has a lease term of at least two years, Landlord shall provide at least 90 days’ notice. Any offer to renew shall only be binding upon the execution of a renewal lease executed by both Tenant and Landlord.</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0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RENT</w:t>
      </w:r>
      <w:r w:rsidDel="00000000" w:rsidR="00000000" w:rsidRPr="00000000">
        <w:rPr>
          <w:b w:val="0"/>
          <w:bCs w:val="0"/>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Monthly Rent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pay to Landlord, without demand, deduction or offset, unless permitted by law, the sum of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{{rent.monthly}}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month (the “Monthly Rent”), for the term of this Lease. The due date for the Monthly Rent payment shall be day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{{rent.due_day}}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each calendar month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“Due Date”) and shall be considered advance payment for that month with no grace period (the “Due Date”). Rent is not considered paid, if any payment or check does not clear Landlord’s banking institution, bounces, or if payment is stopped for any reason. No matter what day Monthly Rent is actually due under this Lease, the rental period shall be from the first day of the month to the last day of the month during the Lease and during any month-to-month tenancy following the end of the Lease. Acceptance of Monthly Rent does not waive any right or remedy available to Landlord under this Lease or at law. If the Lease begins after the first day of the month,</w:t>
      </w:r>
    </w:p>
    <w:p w:rsidR="00000000" w:rsidDel="00000000" w:rsidP="00000000" w:rsidRDefault="00000000" w:rsidRPr="00000000" w14:paraId="00000011">
      <w:pPr>
        <w:spacing w:before="0" w:after="0" w:line="20" w:lineRule="exact"/>
        <w:ind w:left="0" w:right="0" w:firstLine="0"/>
        <w:jc w:val="center"/>
        <w:rPr>
          <w:sz w:val="16"/>
          <w:szCs w:val="16"/>
        </w:rPr>
        <w:sectPr>
          <w:footerReference r:id="rId25" w:type="default"/>
          <w:pgSz w:h="15840" w:w="12240" w:orient="portrait"/>
          <w:pgMar w:bottom="477" w:top="883" w:left="420" w:right="420" w:header="360" w:footer="177"/>
          <w:pgNumType w:start="1"/>
        </w:sectPr>
      </w:pP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when Tenant signs the Lease one full month’s rent and for the next full calendar month Tenant shall pay a prorated rent based on the number of days the Lease began after the first day of the month through the end of that calendar month.</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Amounts Due Prior to Move-in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pay Landlord the first Monthly Rent payment, any prorated portion for any partial month, the Security Deposit as noted in paragraph 6 below, and any other charges permitted by law. This Lease shall not become binding on Landlord unless and until the above payment has been paid and collected and Landlord can withhold possession of the Unit until this amount is paid in full.</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Additional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the purposes of this Lease, “Additional Charges” shall include all amounts payable by Tenant to Landlord per the terms of this Lease except Monthly Rent. Additional Charges shall include any and all charges and fees under this Lease (including its riders) and shall further include, but is not limited to the following: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Late Charges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Real Property Law Section 238-a, Tenant is obligated to pay a late fee if full Monthly Rent is not paid within five days of the Due Date. Late charges shall be the lesser of $50.00 or five percent of the monthly rent in addition to legal interest at the maximum amount allowable at law. Tenant will also be liable to pay all bank fees and charges for any check which is dishonored or returned. Partial payment of Monthly Rent shall be considered non-payment and Tenant will be subject to late charges as set forth above.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A">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65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Returned Checks or Electronic Payment Rejection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either stops payment or any payment by Tenant, or on behalf of Tenant, is dishonored for insufficient funds or any other reason, Tenant shall pay to Landlord the amount of the payment, a processing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{{fee.returned_payment}}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applicable late charges pursuant to this Lease.</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Rent Increases and Changes to this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During the initial fixed term of this Lease, there will be no Monthly Rent increases or changes to this Lease through the End Date unless otherwise allowed by law, agreed to by the Parties in a written Rider or amendment to this Lease, or (except as to Monthly Rent) subject to a reasonable change to the Community Rules (as defined below).</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1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5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Method of Payment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convert Tenant checks via the Automated Clearing House (ACH) system for immediate payment. Landlord does not permit third-party checks unless previously authorized by Landlord in writing or as required by law. Payments can be made as follows: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65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address and telephone number of person or entity to whom payments can be made (Landlord may modify this information from time to time at Landlord’s sole discretion):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{{payee.name}}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{{payee.address}}</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{{payee.phone}}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vertAlign w:val="baseline"/>
        </w:rPr>
      </w:pP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130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accepts the following forms of payment: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Personal Check, Money Order, Credit Cards, ACH (NO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CASH)</w:t>
      </w:r>
    </w:p>
    <w:p w:rsidR="00000000" w:rsidDel="00000000" w:rsidP="00000000" w:rsidRDefault="00000000" w:rsidRPr="00000000" w14:paraId="00000026">
      <w:pPr>
        <w:pStyle w:val="Heading3"/>
        <w:spacing w:before="91" w:lineRule="auto"/>
        <w:ind w:left="0" w:right="408" w:firstLine="0"/>
        <w:rPr/>
      </w:pP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2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DEPOSIT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signing this Lease, Tenant shall deposit with Landlord the sum of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{{deposit.amount}}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representing one month’s Monthly Rent, as security for Tenant obligations including damage caused to the Unit, Building and/or Community during this Lease’s term (the “Security Deposit”). Tenant shall not use the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62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Security Deposit to pay Monthly Rent or any other sum due under this Lease. The Security Deposit shall not constitute a measure of Landlord’s damages in the event of Tenant’s default. Landlord shall place the Security Deposit in an interest-bearing account in the following bank: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{{deposit.bank_name}}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{{deposit.bank_address}}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that the Security Deposit shall earn interest, then Landlord shall be entitled to a 1% administrative fee pursuant to applicable law.</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Landlord elects to use any portion of the Security Deposit to cover Tenant’s default during the term, Tenant shall be required to pay additional money to maintain the Security Deposit at the amount stated above and as may be modified by Riders. Any deficit in the Security Deposit shall be due upon written demand by Landlord. Failure to maintain the Security Deposit shall be a material breach of Tenant’s obligations under this Lease.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2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Refund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entire amount of the deposit or advance shall be refundable to Tenant upon Tenant’s vacating of the Unit except for an amount lawfully retained for the reasonable and itemized costs due to non- payment of Monthly Rent, Additional Charges, damage caused by the Tenant beyond normal wear and tear, non-payment of utility charges payable directly to Landlord under the terms of this Lease or tenancy, and moving and storage of the Tenant’s belongings. Within a reasonable time after notification of either party’s intention to terminate the tenancy, unless Tenant terminated the tenancy with less than two weeks’ notice, Landlord shall notify Tenant in writing of Tenant’s right to request an inspection before vacating the Unit and of Tenant’s right to be present. If Tenant requests such an inspection, the inspection shall be made no earlier than two weeks and no later than one week before the end of the tenancy. Within fourteen days after Tenant has vacated the Unit, Landlord will provide Tenant with an itemized statement indicating the basis for the amount of the Security Deposit retained, if any, and shall return any remaining portion of the Security Deposit to Tenant. Landlord shall mail the itemized documentation to the forwarding address that Tenant provides Landlord, in writing, upon Tenant’s surrender of the Unit. If Tenant does not provide a forwarding address, Landlord shall send the itemization documentation to the Unit that has been vacated. Landlord may refund the Security Deposit to any Tenant identified in paragraph 1 of this Lease and shall thereafter be released from further obligation to any and all Tenant(s) with regard to the Security Deposit.</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2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Deductions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use the Security Deposit to reimburse Landlord for unpaid Monthly Rent, Additional Charges, or for expenses or damages incurred by Landlord as a result of Tenant’s failure to comply with any provision of this Lease or to meet the obligations imposed on Tenant by law. Tenant may not use the Security Deposit for the payment of Monthly Rent or Additional Charges. If deductions exceed the Security Deposit, Tenant will pay to Landlord the deficiency upon Landlord’s written demand.</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72"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CONDITION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After initial Lease signing but before the Tenant begins occupancy, Tenant has inspected the Unit (or Tenant has waived the opportunity to inspect) and accepts the Unit in an “as is” condition except as to conditions that Tenant could not reasonably have discovered during Tenant’s inspection. By accepting possession of the Unit, Tenant acknowledges that the Unit (including fixtures and appliances) is in a safe, clean, and good condition and agrees to maintain the Unit in a safe, clean, and good condition and in compliance with all applicable laws during the time that Tenant is in possession of the Unit. Tenant agrees that all appliances and equipment are in good working order and of sufficient capacities for Tenant’s use. Tenant agrees that Landlord has made no promises to decorate, alter, repair, or improve the Unit. If an appliance requires replacement, Landlord shall not be required to replace any appliance with a brand-new appliance of that type.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USE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used and occupied solely by the Occupants, exclusively, as a private residential dwelling, and no part of the Unit or Community shall be used, except as provided by law or as agreed to in writing by Landlord, for the purpose of carrying on any business, profession, or trade of any kind, or for any purpose other than as a private dwelling, except that activities incidental to any Tenant’s employment may be conducted within the Unit so long as such activities: (i) do not otherwise violate the provisions of this Lease,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are not apparent or detectable by sight, sound or smell from the exterior of the Unit, (iii) do not increase traffic flow or parking congestion in the Community, (iv) do not increase Landlord’s insurance premium or otherwise negatively affect Landlord’s ability to obtain insurance coverage, (v) are consistent with the residential character of the Community, (vi) do not constitute a nuisance or a hazardous or offensive use, (vii)</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threaten the security or safety of Landlord or other residents of the Community, and (viii) do not have any signs regarding the business, all as determined in each case in Landlord’s sole discretion.</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Persons not expressly identified in paragraphs 1 and 3 of this Lease may not stay in the Unit for more than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{{guest.consecutive_days}}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consecutive days or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{{guest.total_days}}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total days within any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{{guest.window_days}}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-day period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Such person shall be deemed to be an unauthorized occupant, unless Tenant has given written advance notice to Landlord (stating the other person’s name, age, relationship to Tenant, expected duration of such occupancy, and purpose of the occupancy) and Landlord has given written approval for that temporary occupancy. Landlord’s written approval shall not grant any rights to that other person, other than as set forth in the written notice. Landlord’s written approval does not constitute a consent to an assignment, subletting, or a grant of any rights of succession to such other person.</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3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Short Term Rentals Prohibited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advertise the Unit in any publication, medium, or format whatsoever (including, but not limited to advertisements placed via the internet) as being available for occupancy by any person other than the Tenant and the other persons described in paragraph 3 of this Lease. This obligation shall be known as the “No Advertising Covenant” of this Lease.</w:t>
      </w:r>
    </w:p>
    <w:p w:rsidR="00000000" w:rsidDel="00000000" w:rsidP="00000000" w:rsidRDefault="00000000" w:rsidRPr="00000000" w14:paraId="0000003C">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be in breach of the No Advertising Covenant regardless of whether Tenant receives any compensation in any manner whatsoever for the occupancy of the Unit. In the event Tenant does receive any such compensation, the cash value of such compensation actually received by the Tenant plus an additional amount equal to such compensation shall be the property of Landlord and both such sums shall be collectible by Landlord as Additional Charges, such being a liquidated sum representing the Landlord’s incalculable administrative expense in having to assert its rights with regard to such breach of the Tenant’s obligations.</w:t>
      </w:r>
    </w:p>
    <w:p w:rsidR="00000000" w:rsidDel="00000000" w:rsidP="00000000" w:rsidRDefault="00000000" w:rsidRPr="00000000" w14:paraId="0000003D">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and directly or indirectly by reason thereof Landlord suffers any expense in the form of fines or penalties imposed by any governmental agency, Tenant shall be liable to Landlord for the sum of such fines and penalties together with Landlord’s reasonable expenses in defending any proceeding brought by such governmental agency (including, but not limited to Landlord’s attorneys’ fees in such defense), together with Landlord’s reasonable attorneys’ fees in enforcing its rights against Tenant, all of which sums shall be collectible by Landlord from the Tenant as Additional Charges.</w:t>
      </w:r>
    </w:p>
    <w:p w:rsidR="00000000" w:rsidDel="00000000" w:rsidP="00000000" w:rsidRDefault="00000000" w:rsidRPr="00000000" w14:paraId="0000003E">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breaches the No Advertising Covenant, Landlord reserves the right to refuse access to the Unit to any persons other than Occupants and such other persons as are described in Real Property Law Section 235-f or any similar law as shall be in effect at such time. At all such times as Tenant is in breach of the No Advertising Covenant, Landlord shall have the right to refuse access to the Unit to persons not previously known to the Landlord. If, while Tenant is in breach of the No Advertising Covenant, Landlord’s agent sees a person not previously known to the Landlord attempting to gain access to the Unit, Landlord shall have the right to change the locks to the Unit and Landlord will thereupon furnish keys to such locks to the Tenant immediately upon demand thereof and reimbursement to Landlord of the costs of changing the locks plus an administrative fee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{{fee.lock_change_admin}}</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However, if the person attempting to gain access to the Unit provides reasonable proof to Landlord that such person is a lawful Occupant or such other person as is described in Real Property Law Section 235-f, Landlord shall not change the locks and Tenant shall not be liable for any expense with regard thereto.</w:t>
      </w:r>
    </w:p>
    <w:p w:rsidR="00000000" w:rsidDel="00000000" w:rsidP="00000000" w:rsidRDefault="00000000" w:rsidRPr="00000000" w14:paraId="0000004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guests and invitees shall comply with this Lease, and any and all laws, ordinances, rules and orders of the Landlord and any and all governmental or quasi-governmental authorities regarding the Unit, the Building, and common areas associated therewith, and the Community, including, but not limited to, tobacco use, controlled substances, and the cleanliness, use, occupancy and preservation of the Unit. Occupants and their guests and invitees will not use the Unit or any portion of the Community in such a way as to: (i) violate any law or ordinance, including laws prohibiting the use, possession, or sale of illegal drugs; (ii) rent out all or a portion of the Unit, garage, parking or storage areas, for vacation or short-term rentals; (iii) commit waste or nuisance; (iv) interfere with the health, comfort and safety of other tenants, neighbors or Landlord or Landlord’s agents; or (v) annoy, disturb, inconvenience, or interfere with the quiet enjoyment and occupancy of other tenants or neighbors or Landlord or Landlord’s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agents. Tenant agrees to ensure that Occupants and their guests and invitees comply with this paragraph and Tenant shall reimburse Landlord as an Additional Charge upon demand for the cost of all losses, damages, fines, penalties and reasonable legal expenses incurred by Landlord because of a violation of the Lease. Any person in the Unit, with or without the Tenant’s knowledge, including, but not limited to, invitees of guests or other invitees, shall be deemed to be Tenant’s guests or invitees for purposes of this Lease.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Community Rules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to see that Occupants and their guests and invitees shall follow such rules and regulations as (i) Landlord may distribute or post from time to time relating to the Building or Community (the “Community Rules”), or (ii) are issued by governmental authorities or insurance companies relating to the Building or Community. Tenant understands that violations of the foregoing rules and regulations by Occupants, guests, or invitees may be grounds for termination of Tenant’s possession or occupancy of the leased premises, regardless of whether Tenant is aware of the violations committed by Occupants, guests or invitees. To the extent permitted under New York law, Landlord may change the Community Rules without notice. The Community Rules may include, but are not limited to, rules regarding elevator safety and use, pool rules, garbage disposal, recycling, parking regulations, lockout and lost key procedures, security system use, excessive noise, animal identification, animal behavior, use of grounds, maintenance of balconies and decks, display of signs in windows, and common laundry room rules. To the extent available in the Community, Tenant understands that recreational facilities are an amenity, and, except as required by law, that Landlord does not guaranty the availability of these amenities under the terms of this Lease, except to the extent required by law. Regardless of whether Tenant is entitled to use any particular recreational facility or amenity, Tenant’s failure to use any particular recreational facility, amenity or other common areas in accordance with the Community Rules shall be a material breach of Tenant’s obligations under this Lease. Tenant shall be responsible to pay, as Additional Charges, the costs to repair any damages to the recreational facilities and other common areas caused by Occupants or their guests or invitees. By executing this Lease, Tenant acknowledges receipt of the current Community Rules.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MAINTENANCE AND REPAIR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Except as prohibited by law, Tenant shall keep and maintain the Unit and its appurtenances, appliances and utilities in good, safe, and sanitary condition and repair during this Lease’s term and any renewal of it. Without limiting the generality of the foregoing, Tenant shall:</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Promptly notify Landlord of dangerous conditions in the Unit and the Community that Tenant becomes aware of and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promptly notify Landlord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in writing</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of conditions that need 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may recover from Tenant the actual and reasonable cost of repairs that are Tenant’s fault. Tenant is also responsible for all repair costs that result from Tenant’s failure to report a condition needing repair in a timely manner;</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 for the costs of repair of the following conditions caused by Occupants and their guests or invitees that may occur during the original term or a renewal or extension including, but not limited to: (i) damage from blocked drains and/or wastewater stoppages due to the disposal or placement of any foreign or improper objects in lines that exclusively serve the Unit; (ii) damage to walls, ceilings, floors, doors, windows, and screens; (iii) damage due to windows or doors left open; and (iv) damage/repair/extermination fees incurred as a result of Occupants, guests or invitees failing to maintain the Unit in a clean, safe, clutter free and sanitary condition;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B">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 all times maintain the Unit, including the appliances and furnishings, in a clean, safe, and sanitary condition. Such obligation includes maintaining proper climate control to keep the Unit clean and free of mildew or mold or other unsanitary conditions;</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4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Care for, use and operate appliances, equipment, and facilities in accordance with the operating instructions and in a safe and reasonable manner, and as otherwise instructed by Landlord;</w:t>
      </w:r>
    </w:p>
    <w:p w:rsidR="00000000" w:rsidDel="00000000" w:rsidP="00000000" w:rsidRDefault="00000000" w:rsidRPr="00000000" w14:paraId="0000004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the driveways, sidewalks, entryways, stairs, halls, or any interior area of the Unit, that are used for the purposes of ingress and egress. Not store or ride bicycles, scooters, skateboards or other similar</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 the driveways, entryways, stairs or halls. Not lounge or loiter on the front steps, public balconies, or in the common hallways in a way that interferes with the convenience, movement and quiet enjoyment of other tenants, guests or invitees;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windows, glass, window coverings, doors, locks and hardware in good and clean order and repair;</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obstruct any heating, ventilation, or air-conditioning ducts;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hang any laundry, clothing, sheets, or other articles from any window, rail, porch, or balcony, nor air or dry any of same within any common area or space;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cause or permit any locks or hooks to be placed upon any door or window without the prior written consent of Landlord;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all HVAC filters clean and free from dirt and cooperate with Landlord’s maintenance personnel in replacing filters as needed. Tenant acknowledges and agrees that if Landlord provides air conditioning, Landlord will repair air conditioning system malfunctions in a commercially reasonable timeframe;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Deposit all trash, garbage, rubbish or refuse at least weekly in a lawful, clean and safe manner in the locations provided and not allow any trash, garbage, rubbish or refuse to be deposited or permitted to stand on the exterior of any building or within the common areas;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5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Properly use and operate all electrical, gas, heating, and plumbing fixtures and keep the same in a clean and safe condition;</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Replace light bulbs specific to the Unit with the correct wattage bulbs. All light bulbs, including appliance bulbs, must be in working order upon vacating the Unit;</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Surrender the Unit in a safe, clean, and good condition, subject to normal wear and tear;</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4">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Allow the Landlord to use pesticides or other chemicals as permitted by law, to clean, and/or remediate any condition in or about the Unit for the protection of the tenants or the Building, if Landlord deems it advisable or necessary, and Tenant shall timely notify Landlord of any bug, rodent, insect or other pest infestations and shall cooperate with the treatment recommendations of Landlord’s pest control provider;</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keep in the Unit any item of a hazardous, dangerous, flammable, or explosive character that might unreasonably increase the danger of health risks, fire or explosion in the Unit or that might be considered hazardous by any responsible insurance company;</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Reimburse Landlord for the cost of any repairs to the Unit, including Landlord’s personal property therein, damaged by Occupants their guests or invitees through misuse, neglect, negligence, or intentional misconduct;</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 the Unit sufficiently heated in cold weather so that the plumbing serving the Unit does not freeze; and</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Carpet or have rugs, each of which shall have ¼” padding, on at least 80% of the Unit’s floors, not counting bathrooms, kitchen, and closets, but without using nails to affix any such carpeting or rugs to the flooring.</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6E">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LANDLORD’S MAINTENANCE AND REPAIR OBLIGATIONS</w:t>
      </w:r>
      <w:r w:rsidDel="00000000" w:rsidR="00000000" w:rsidRPr="00000000">
        <w:rPr>
          <w:b w:val="0"/>
          <w:bCs w:val="0"/>
          <w:rtl w:val="0"/>
        </w:rPr>
        <w:t xml:space="preserv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this Lease’s term, Landlord shall be responsible for the following:</w:t>
      </w:r>
    </w:p>
    <w:p w:rsidR="00000000" w:rsidDel="00000000" w:rsidP="00000000" w:rsidRDefault="00000000" w:rsidRPr="00000000" w14:paraId="00000072">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Ensuring the Community and the Unit are in substantial compliance with all applicable federal, state, and local laws, regulations and statutes;</w:t>
      </w:r>
    </w:p>
    <w:p w:rsidR="00000000" w:rsidDel="00000000" w:rsidP="00000000" w:rsidRDefault="00000000" w:rsidRPr="00000000" w14:paraId="00000073">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61"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Keeping the Community’s common areas reasonably clean; and</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7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Maintaining and making any necessary repairs and replacements to the heating, water, plumbing, and electrical systems, within a reasonable time after written notice from Tenant; provided, however, that Tenant may be liable for the cost of such repairs caused by Tenant’s actions or inactions pursuant to paragraph 9, above.</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 the maximum extent permitted by law, Landlord is not responsible for the following:</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9">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or loss of Tenant’s personal property; or</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B">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acts of other tenants, guests, or invitees.</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PROPERTY LOSS/DAMAGE/INCONVENIENCE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not be liable for any temporary interference with light, ventilation, or view caused by construction by or on behalf of Landlord. Landlord will not be liable for any such interference on a permanent basis caused by construction on any parcel of land not owned by Landlord. Also, Landlord will not be liable to Tenant for such interference caused by the permanent closing, darkening or blocking up of windows, if such action is required by law. None of the foregoing events will cause a suspension or reduction of the rent or allow Tenant to cancel the Lease. Landlord or Landlord’s agents and employees are not responsible to Tenant for any of the following, unless caused by the negligence or misconduct of Landlord or Landlord’s agents or employees: (i) any loss of or damage to Occupants’ property in the Unit or the Community due to any accidental or intentional cause, even a theft or another crime committed in the Unit or elsewhere in the Community; (ii) any loss of or damage to Occupants’ property delivered to any employee of the Community (i.e., doorman, superintendent, etc.); or (iii) any damage or inconvenience caused to Occupants by actions, negligence or violations of a Lease by any other tenant or person in the Community except to the extent required by law.</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7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ALTERATIONS AND IMPROVEMENTS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make any repairs, alterations, or improvements in or about the Unit without Landlord’s prior written consent. Alterations and improvements include, but are not limited to: (i) changing or removing any part of appliances, furnishings, fixtures, and equipment; (ii) installing wallpaper or other wall adhesives; (iii) painting the walls, ceilings, fixtures, and appurtenances; (iv) changing or installing locks or burglar alarm system (if the Unit is so equipped); (v) installing unauthorized lockboxes/keyless entry devices, altering any electrical item, altering or removing alarm systems, smoke detectors, and carbon monoxide detectors, changing locks or rekeying unless allowed pursuant to statute or if Landlord has consented in writing; (vi) installing antennas, lighting fixtures, surveillance, or other equipment (except that the installation of satellite dishes may be permitted if Tenant executes a Satellite Dish Installation Rider and complies with reasonable restrictions as permitted by law); (vii) using nails, screws, or fastening devices on floors, walls, ceilings, or woodwork, except that Tenant may use a reasonable number of small nails or tacks on walls to hang pictures; and (viii) build in, add to, change or alter in any way any flooring, paneling, wallpaper, built-in decorations, partitions, railings, paint, carpeting, plumbing, ventilating, air conditioning, electric or heating systems.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without the Landlord’s prior written consent, install or use in the Unit a dishwasher, clothes washer or drying machines, electric stoves, garbage disposal units, heating, ventilating or air conditioning units or any other equipment or plumbing which in Landlord’s reasonable opinion may overload the Unit or Building’s electrical or plumbing or waste systems unless already existing at the time of move-in.</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and all alterations, changes, and/or improvements built, constructed, or placed in or about the Unit by Tenant with Landlord’s written consent shall, unless otherwise provided by written agreement between the Parties, be and become the property of Landlord without compensation to Tenant and shall remain in the Unit at the expiration or earlier termination of this Lease unless Landlord requires removal, which removal shall be at Tenant’s sole expense. Any and all alterations, changes, and/or improvements built, constructed, or placed in or about the Unit by Tenant without Landlord’s written consent shall be promptly removed by Tenant on demand</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Landlord and Tenant shall promptly restore the Unit to its preexisting condition at Tenant’s sole expense unless Landlord notifies Tenant that Landlord shall make such restoration at Tenant’s expense. Tenant shall not allow any construction lien or other claim to be filed against any part of the Community or the Unit. If any lien or claim is filed against any part of the Community or the Unit, Tenant shall have it removed within ten days at Tenant’s expense. In the event Tenant does not timely remove any lien, Landlord may remove the lien, in Landlord’s sole discretion, and Tenant shall reimburse Landlord for the cost of such removal, which shall include any expenses or fees incurred by Landlord in connection therewith.</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MOVING/UNIT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permitted to use the elevator designated by Landlord for purposes of moving in/out and to move furniture and possessions only on designated days and hours in compliance with the Landlord’s rules/regulations/procedures and requirements. Landlord shall not be liable for any costs, expenses or damages incurred by Tenant in moving because of Landlord’s rules/regulations/procedures and requirements or because of delays caused by the use or unavailability of the designated elevator. Tenant is responsible for all damage caused during any delivery or moving in/out of the Unit and Building.</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Upon expiration or termination of this Lease’s term, Tenant shall surrender the Unit and all furnishings, fixtures, equipment, and other property belonging to Landlord in as good a state and condition as the Unit was at the Commencement Date, reasonable wear and tear excluded. Tenant shall provide Landlord with written notice of Tenant’s forwarding address. Tenant shall return all keys to any locks, locking devices, bolts, or latches. Tenant shall remove all persons from the Unit and all personal property of Occupants and their guests or invitees.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NON-DELIVERY OF POSSESSION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does not take possession of the Unit, Tenant will still be responsible for paying Monthly Rent and complying with all other terms of this Lease, subject to Landlord’s duty to mitigate damages. If Landlord cannot deliver possession on the Commencement Date, then Landlord shall have no liability, but Monthly Rent shall abate until Landlord delivers possession. The delay in possession will not affect any of the other terms of this Lease. This Lease’s End Date will not change. If Landlord cannot deliver possession within 30 days of the Commencement Date, Tenant may terminate this Lease and Landlord shall return the Security Deposit and any monies collected. Landlord is not responsible for any cost of temporary or alternate housing incurred by Tenant because of the non-delivery or delayed possession unless the failure is willful and not in good faith.</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8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will provide cold and hot water and heat as required by law, elevator service if the Building has elevator equipment, and the utilities, if any, included in the rent, as set forth in the attached utility rider. Tenant is not entitled to any rent reduction because of a stoppage or reduction of any of the above services unless it is provided by law. The attached utility rider describes the Parties’ respective responsibilities regarding utilities and services. Utilities must be used only for normal residential purposes and shall not be wasted. Tenant shall not allow essential utilities to be disconnected until the end of this Lease term or any renewal thereof.</w:t>
      </w:r>
    </w:p>
    <w:p w:rsidR="00000000" w:rsidDel="00000000" w:rsidP="00000000" w:rsidRDefault="00000000" w:rsidRPr="00000000" w14:paraId="0000008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221e1f"/>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BY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Upon 24 hours’ face to face or direct telephone conversation notice or six days mailed notice, Landlord may enter the Unit at reasonable times for the purpose of making necessary repairs or improvements required by law including without limitation, to erect, use and maintain pipes and conduits in and through the walls and ceilings of the Unit, to show the Unit to persons who may wish to become owners or lessees of the entire Building or may be interested in lending money to Landlord, four months before the end of the Lease to show the Unit to people who may want to rent it and to enter to make changes, repairs or redecorations in the last month of the Lease if Tenant has moved out and removed all or most of Tenant’s property or for the purpose of inspection. If Tenant is not present, Landlord may enter the Unit by use of a master key, use of a locksmith, or other reasonable means. Upon five days face to face or direct telephone conversation notice or ten days mailed notice, Landlord may enter the Unit at reasonable times for the purpose of showing the housing accommodation to a prospective purchaser, mortgagee or prospective mortgagee, or other person having a legitimate interest therein, to be arranged at the mutual convenience of the Parties so as to enable the Tenant to be present at the inspection or showing. No notice of entry by Landlord is required in the event of an emergency or an emergency repair. When entry is for the purpose of an initial move-out inspection,</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notice period will be 48 hours. Tenant’s failure to permit Landlord access as set forth in this paragraph is a material breach of this Lease. If Tenant moves out of the Unit before this Lease ends, Landlord may re-enter the Unit to decorate, remodel, alter, or otherwise prepare the Unit for re-occupancy by a new tenant without prior notice to Tenant and without waiving any other rights or remedies Landlord may have against Tenant pursuant to this Lease, at law, or in equity. Tenant shall not change or install any lock, locking device, bolt, burglar device or latch without Landlord’s written consent. Notwithstanding the foregoing, Tenant will provide Landlord with a key or keys capable of unlocking all such rekeyed or new locks as well as instructions on how to disarm any altered or new burglar alarm system. Landlord’s right of access shall not impose any obligation on Landlord to enter the Unit.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ANIMALS</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allow any animal, including, but not limited to, dogs, cats, mammals, reptiles, birds, fish, rodents, or insects in the Community, even temporarily, unless otherwise agreed to by a separate written Animal Rider. If Tenant violates the animal restrictions of this Lease, Tenant is in material breach of this Lease. Landlord may remove or cause to be removed any (i) unauthorized animal, or (ii) authorized animal if the Landlord reasonably believes the animal is an imminent or actual danger to others, needs urgent medical attention, or is being abused, by delivering it to appropriate local authorities or as otherwise provided by law. To the maximum extent allowed by law, (i) Landlord will not be liable for any harm, injury, death, or sickness to any animal due to Landlord’s acts or omissions, and Landlord’s liability, if any,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{{fee.animal_liability_cap}}</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(ii) Tenant is responsible and liable for any loss, claim, personal injury, damage, or required cleaning to the Unit or Community caused by any animal, whether authorized or not, and for all costs Landlord may incur in removing or causing any animal to be removed. Notwithstanding the provisions of this clause, service or support animals for the assistance of a person with a disability shall be permitted upon Tenant’s request. Tenant shall be liable for all claims and damages related to the service or support animal, including, but not limited to, personal injury, or damages to the Unit, Community, or Landlord’s property and the costs of restoring the Unit, Community, or Landlord’s property to its prior condition, excluding normal wear and tear. Tenant shall not allow any service or support animal to cause a nuisance or to otherwise violate any Lease term. In a manner consistent with state and federal laws, regulations and guidelines, as then applicable, Landlord may require a written statement from a healthcare professional verifying an Occupant’s need for a service or support animal. An Occupant’s misrepresentation about the need for a service or support animal is a material breach of this Lease.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ASSIGNMENT AND SUBLETTING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cannot assign this Lease or sublet the Unit without Landlord’s prior written consent in each instance to a written request made by Tenant pursuant to Real Property Law</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§226-b and the Rent Stabilization Code and Law. Landlord may refuse to consent to a lease assignment for any reason or no reason, but if Landlord unreasonably refuses to consent to request for a Lease assignment properly made, at Tenant’s request in writing, Landlord will end this Lease effective as of thirty days after Tenant’s request. Each and every time Tenant desires to sublet or assign, Tenant must get the written consent of Landlord. Landlord may impose a reasonable credit check fee on Tenant in connection with an application to assign or sublet. If Tenant fails to pay Monthly Rent, Landlord can collect the Monthly Rent from any subtenant without releasing Tenant from the obligations of the Lease. Landlord’s acceptance of Monthly Rent does not create a landlord-tenant relationship nor does it release Tenant from this Lease.</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6">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UNIT DAMAGE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following provisions apply if the Unit is destroyed or rendered wholly or partly uninhabitable by fire, storm, earthquake, or other casualty (collectively, “Casualty”), but shall not be interpreted to relieve Tenant of any obligation to pay Monthly Rent or Additional Charges which accrued prior to the Casualty:</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8"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Notice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immediately notify Landlord of any Casualty that occurs to the Unit or the Community and of any damage caused thereby.</w:t>
      </w:r>
    </w:p>
    <w:p w:rsidR="00000000" w:rsidDel="00000000" w:rsidP="00000000" w:rsidRDefault="00000000" w:rsidRPr="00000000" w14:paraId="0000009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the Unit is uninhabitable due to such Casualty, Landlord, unless duly excused by a court or administrative agency, may repair such damage and restore the Unit, with this Lease continuing in full force and effect, except that Tenant’s Monthly Rent or Additional Charges will be partially abated while repairs are being made. Failure of Tenant to pay the Monthly Rent or</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Additional Charges ordered by any duly authorized agency shall be deemed an abandonment of the Unit. Nothing in this paragraph shall be construed to impair the Landlord’s right to accept a surrender of the Unit, which such surrender shall itself excuse any obligation on Landlord’s part to effect repairs to the Unit.</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Unit Partly Uninhabitable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Subject to subparagraph 19.E, if only a part of the Unit is uninhabitable, Landlord will attempt to repair such damage and restore the Unit within 30 days after such damage. If only part of the Unit cannot be used, Monthly Rent and Additional Charges shall be adjusted proportionally, based on the proportion of the Unit still habitable by Tenant as determined at the sole discretion of the Landlord, until Landlord restores the Unit.</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9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Repair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obligated to repair or restore any alterations or improvements made by Tenant to the Unit. Landlord will also not be required to repair, replace or clean any property brought into the Unit by Tenant.</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Casualty is caused by Occupants or their guests, invitees, employees, contractors, agents, or visitors, Tenant shall pay for all repairs and other damages and Monthly Rent and Additional Charges shall not abate during the period that the Unit, Building and/or Community are not habitable or only partially habitable. Landlord shall also have the right, in its sole discretion, to terminate this Lease at any time as a result of fire or casualty caused by Tenant, and Tenant will be responsible for all losses, including, but not limited to, damage and repair costs as well as loss of rental income to the fullest extent allowed by law.</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GOVERNMENTAL TAKING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the whole or any substantial part of the Unit or Building is taken for any public purpose or use or for any quasi-public use under governmental law, ordinance, or regulation, by right of eminent domain, or by private purchase in lieu of condemnation, and the taking would render the Unit uninhabitable, this Lease shall terminate and the Monthly Rent shall be abated proportionally upon the date that the physical taking of the Unit occurs. Compensation for any governmental taking shall belong to Landlord, only; there shall be no allowance to Tenant based on termination of this tenancy, unless required by law.</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SUBORDINATION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and Tenant’s interest therein are and shall be subordinate, junior, and inferior to any and all mortgages, liens, or encumbrances now or later placed on the Unit by Landlord, all advances made under any such mortgages, liens, or encumbrances (including, but not limited to, future advances), the interest payable on such mortgages, liens, or encumbrances and any and all renewals, extensions, or modifications of such mortgages, liens, or encumbrances. Upon Landlord’s request, Tenant shall promptly execute any documents necessary to indicate such subordination and endorse an estoppel letter stating the following if true: (i) this Lease is in effect; (ii) Tenant has no rights to the Unit beyond those in this Lease; (iii) whether Tenant is current on Rent; (iv) Tenant has not pre-paid Rent; (v) Tenant holds no options or first rights of refusal to purchase the Unit; (vi) the amount of any security deposit; (vii) any fixtures claimed to be owned and removable by Tenant; (viii) the names of each Occupant and the dates of their residency; and (ix) such other reasonable and true statements with regard to this Lease as Landlord requests.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INDEMNIFICATION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the extent permitted by law, Tenant shall defend, indemnify, and hold Landlord and Landlord’s agents harmless from and against any and all liability, loss, cost, or expense, including reasonable attorneys’ fees, arising from or relating to any act or negligence of Occupants, Occupants’ agents, contractors, guests, animals, or invitees, or any person in or about the Community with Occupants’ express or implied consent. The provisions of this paragraph shall survive the expiration or termination of this Lease. It is the Parties’ intent that this paragraph be consistent with New York law and local ordinance(s) and that any provision that is not consistent or otherwise found to be improper shall be stricken and not enforced.</w:t>
      </w:r>
    </w:p>
    <w:p w:rsidR="00000000" w:rsidDel="00000000" w:rsidP="00000000" w:rsidRDefault="00000000" w:rsidRPr="00000000" w14:paraId="000000A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AND CARBON MONOXIDE DETECTORS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Functioning smoke detector(s) are installed in the Unit. Tenant must replace batteries as needed. Tenant must not disconnect or intentionally damage a smoke detector alarm and/or a carbon monoxide detector or remove the battery without immediately replacing it with a working battery. Tenant may be subject to damages, civil penalties, and attorney’s fees for not complying with this notice. Requests by Tenant for additional installation, inspection, or repair of smoke alarms and/or carbon</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68"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monoxide detectors must be in writing. Tenant will not refuse Landlord access for the purpose of inspecting, maintaining, repairing, or installing smoke or carbon monoxide detectors.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RENTERS INSURANCE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Renters insurance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{{insurance.required_no}}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required. If renters insurance is required and Tenant fails to obtain the insurance, Landlord may purchase a Landlord Placed Tenant Liability Insurance policy (“LPTLI”) at Tenant’s monthly expense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{{fee.lptli_monthly}}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plus any applicable administrative fees, which amount shall be paid by Tenant to Landlord payable each month with Tenant’s Rent.</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not responsible for, and will not insure, Occupants or Occupants’ guests or invitees’ furniture, vehicles, or other personal property. Even if Landlord does not require renters insurance, Landlord recommends that Tenant obtain and maintain in full force and effect during the entire tenancy, a policy of renters insurance from a recognized insurance firm to cover Tenant’s liability, personal property damage, damage to the Unit, and coverage for temporary relocation during repairs or if Tenant is required to temporarily relocate for any reason. Tenant must determine the type, coverage and exclusions of renters insurance. Tenant understands that damage can result from water coming from above as well as from below. TENANT ACKNOWLEDGES THAT TENANT IS NOT AN INSURED, CO-INSURED OR ADDITIONAL INSURED ON ANY INSURANCE THAT LANDLORD MAINTAINS, INCLUDING BUT NOT LIMITED TO FIRE OR STRUCTURAL INSURANCE, AND THAT NO PART OF TENANT’S RENT PAYMENT IS APPLIED TO ANY SUCH INSURANCE, AND THAT LANDLORD’S INSURANCE DOES NOT COVER OCCUPANTS, OCCUPANTS’ GUESTS OR INVITEES, OR THEIR PERSONAL PROPERTY. Tenant shall do nothing and</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permit nothing to be done in or about the Unit and/or the Community that would contravene any fire insurance policy covering the Unit and/or the Community.</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BILLS, NOTICE AND 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written notices to Tenant shall be delivered to Tenant (i) in person; (ii) at the Unit, whether or not Tenant is present (iii) by regular mail to Tenant’s last known address; or (iv) by email or other electronic communication if provided in Tenant’s application or previously used by Tenant to communicate with Landlord. Written notice to Tenant from Landlord’s agents, including but not limited to Landlord’s property manager and attorney constitutes notice from Landlord. The date of service of any notice from Landlord to Tenant under this Lease is the date of delivery if delivered personally or by overnight carrier or by email or three business days from the postmark of such mailing. All notices to Landlord shall be served at the below addresses, or as may be modified from time to time by Landlord:</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1"/>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68"/>
        <w:gridCol w:w="5218"/>
      </w:tblGrid>
      <w:tr>
        <w:trPr>
          <w:cantSplit w:val="0"/>
          <w:trHeight w:val="505" w:hRule="atLeast"/>
          <w:tblHeader w:val="0"/>
        </w:trPr>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Property Manager (for repairs, billing, building management, questions etc.):</w:t>
            </w:r>
          </w:p>
        </w:tc>
        <w:tc>
          <w:tcPr>
            <w:tcBorders>
              <w:top w:val="single" w:sz="4" w:space="0" w:color="000000"/>
              <w:left w:val="single" w:sz="4" w:space="0" w:color="000000"/>
              <w:bottom w:val="single" w:sz="4" w:space="0" w:color="000000"/>
              <w:right w:val="single" w:sz="4" w:space="0" w:color="000000"/>
            </w:tcBorders>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or person authorized to receive legal service of process:</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{{legal_notice.name}}</w:t>
            </w:r>
          </w:p>
        </w:tc>
      </w:tr>
      <w:tr>
        <w:trPr>
          <w:cantSplit w:val="0"/>
          <w:tblHeader w:val="0"/>
        </w:trPr>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{{manager.address}}</w:t>
            </w:r>
          </w:p>
        </w:tc>
        <w:tc>
          <w:tcPr>
            <w:tcBorders>
              <w:top w:val="nil" w:sz="0" w:space="0" w:color="000000"/>
              <w:left w:val="single" w:sz="4" w:space="0" w:color="000000"/>
              <w:bottom w:val="nil" w:sz="0" w:space="0" w:color="000000"/>
              <w:right w:val="single" w:sz="4" w:space="0" w:color="000000"/>
            </w:tcBorders>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Address: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{{legal_notice.address}}</w:t>
            </w:r>
          </w:p>
        </w:tc>
      </w:tr>
      <w:tr>
        <w:trPr>
          <w:cantSplit w:val="0"/>
          <w:tblHeader w:val="0"/>
        </w:trPr>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p>
        </w:tc>
        <w:tc>
          <w:tcPr>
            <w:tcBorders>
              <w:top w:val="nil" w:sz="0" w:space="0" w:color="000000"/>
              <w:left w:val="single" w:sz="4" w:space="0" w:color="000000"/>
              <w:bottom w:val="single" w:sz="4" w:space="0" w:color="000000"/>
              <w:right w:val="single" w:sz="4" w:space="0" w:color="000000"/>
            </w:tcBorders>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before="80" w:after="8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Phone: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{{legal_notice.phone}}</w:t>
            </w:r>
          </w:p>
        </w:tc>
      </w:tr>
    </w:tbl>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BC">
      <w:pPr>
        <w:pStyle w:val="Heading3"/>
        <w:ind w:left="948" w:firstLine="0"/>
        <w:jc w:val="both"/>
        <w:rPr/>
      </w:pPr>
      <w:r w:rsidDel="00000000" w:rsidR="00000000" w:rsidRPr="00000000">
        <w:rPr>
          <w:rtl w:val="0"/>
        </w:rPr>
        <w:t xml:space="preserve">In case of a housing emergency, call: </w:t>
      </w:r>
      <w:r>
        <w:rPr>
          <w:u w:val="single"/>
          <w:rtl w:val="0"/>
        </w:rPr>
        <w:t xml:space="preserve">{{emergency.phone}}</w:t>
      </w:r>
      <w:r w:rsidDel="00000000" w:rsidR="00000000" w:rsidRPr="00000000">
        <w:rPr>
          <w:rtl w:val="0"/>
        </w:rPr>
        <w:t xml:space="preserve">.</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the names of people to contact in the event of an emergency. An emergency shall include but not be limited to the health or safety of the Occupants or their guests and invitees, water and fire damage or in the event an unauthorized person seeks to access the Unit.</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desires to give notice to Landlord, it must be in writing and delivered by personal delivery or by overnight carrier or by regular or certified mail. The date of service of any notice from Tenant to Landlord under this Lease shall be the date of delivery if delivered personally or by overnight carrier and if by regular mail or certified mail, shall be three business days from the postmark of such mailing.</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 electronic signature on this Lease, rider or any renewal of the Tenant and/or Landlord shall be deemed an original document and a binding signature pursuant to the Electronic Signatures and Records Act of the State Technology Law.</w:t>
      </w:r>
    </w:p>
    <w:p w:rsidR="00000000" w:rsidDel="00000000" w:rsidP="00000000" w:rsidRDefault="00000000" w:rsidRPr="00000000" w14:paraId="000000C3">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OBJECTIONABLE CONDUCT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the Tenant in the Building and/or Community, you will not engage in nor permit Occupants, family members, guests or invitees to engage in objectionable conduct. Objectionable conduct means behavior which makes or will make the Unit or the Building less fit to live in for you or other tenants and occupants of those tenants. It also means anything which interferes with the right of others to properly and peacefully enjoy their apartments, or causes conditions that are dangerous, hazardous, unsanitary and detrimental to other tenants or occupants of other tenants in the Building and/or Community. Objectionable conduct shall also include, but not be limited to, a chronic pattern of late payment or nonpayment of Monthly Rent and Additional Charges, where applicable, when due, Tenant engaging in profiteering while subletting, conducting an illegal business or violating laws against transient occupancy of the Unit or conducting an illegal business (“Objectionable Conduct”) Objectionable Conduct gives Landlord the right to end this Lease.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NOISE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Occupants and their family members, guests or invitees shall not permit or make any disturbing noises in the Unit, Building or Community that would interfere with the rights, comforts or convenience of other tenants or occupants in the Building or Community including, without limitation, by playing a musical instrument or the use of any radio, television, computer, speakers or any musical playing device.</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GARBAGE/REFUSE/RECYCLING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represents it shall comply with all City, State or local rules and laws and any rules or procedures promulgated by Landlord regarding garbage and recycling laws. Tenant is prohibited from placing any large articles outside of the Unit except as may be permitted by Landlord’s rules and procedures. Rugs, carpets or any other item shall not be hung or shaken out of any window in the Unit nor shall Tenant sweep, throw, nor permit any dirt, garbage or any other substance out of the Unit’s windows or into any public area of the Building.</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PUBLIC ACCESS WAYS/NO PROJECTIONS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block or leave anything in the stairways, halls, sidewalks, the Community, fire escapes, entrances, driveways, elevators including, without limitation, baby carriages, bicycles or other Tenant property and all public access ways shall only be used for ingress and egress for the Unit and Building. Deliveries can only be made in those elevators and passageways designated by Landlord. Tenant is prohibited from installing in any manner awnings, projections or anything to the outside walls of the Building, roof or terrace.</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LAUNDRY/TOILETS/PLUMBING FIXTURES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Laundry and dryers, if any, shall be used by Tenant in the manner and times that Landlord directs and under no circumstance may clothes be dried on the terrace, balcony, roof or outside windows. Tenant shall use all plumbing fixtures such as toilets, washing machines or dishwashers for the purpose they were designed for and in accordance with all rules and regulations promulgated by Landlord. Under no circumstance may any feminine hygiene products, garbage, products containing acid or paint or paper products [other than toilet paper or products approved for toilet use] be discarded in the toilets and plumbing fixtures.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defaults under the Lease if Tenant acts in any of the following ways:</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CF">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fails to carry out any agreement or provision of this Lease other than “Objectionable Conduct” as defined in this Lease;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1">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does not take possession or move into the Unit 15 days after the beginning of this Lease; or</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and other legal occupants of the Unit move out permanently before this Lease ends.</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defaults in any one of these ways, other than a default in the agreement to pay Monthly Rent, Landlord may serve Tenant with a written notice to stop or correct the specified default within ten days. Tenant must then either stop or correct the default within the ten-day period, or, if Tenant needs more than the ten-day period, Tenant must begin to correct the default within the ten-day period and so notify Landlord and continue to do all that is necessary to correct the default as soon as possible.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stop or begin to correct a default in the ten-day period or if Tenant or other legal occupants or guests engage in Objectionable Conduct as defined in this Lease, Landlord shall give Tenant a written notice that this Lease will end seven days after the date the written notice is sent to Tenant. At the end of the seven day period, this Lease will end, and Tenant then must move out of the Unit. If Tenant fails to vacate on the date set forth in the written notice, Landlord shall commence an action or proceeding to recover possession. Even though this Lease ends, Tenant will remain liable to Landlord for unpaid Monthly Rent up to the end of the term of this Lease, the fair market value of Tenant’s occupancy, if any, after the end of the Lease, and damages caused to Landlord after that time as permitted by this Lease and by law.</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pay the Monthly Rent when this Lease requires, Landlord or Landlord’s agent shall send Tenant by certified mail a written notice stating that the Landlord or Landlord’s agent did not receive payment for Monthly Rent within five days of the date specified in the Lease. This does not waive, impair or modify Tenant’s obligation to pay Monthly Rent by the Due Date of each month. If Tenant fails to pay Landlord the Monthly Rent as demanded in a fourteen day statutory written rent demand, Landlord may commence an action or summary nonpayment eviction proceeding based upon the non-payment of rent.</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this Lease has been ended, whether because of default or otherwise, Tenant gives up any right Tenant might otherwise have to reinstate or renew the Lease.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REMEDIES OF LANDLORD AND TENANT’S 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this Lease is ended by Landlord because of Tenant’s default, the following are the rights and obligations of Tenant and Landlord:</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DE">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pay Monthly Rent until this Lease has ended. Thereafter, Tenant must pay an equal amount for what the law calls “use and occupancy” until Tenant actually moves out.</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0">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Once Tenant is out, Landlord may re-rent the Unit or any portion of it for a period of time which may end before or after the ending date of this Lease. Landlord may re-rent to a new tenant at a lesser rent or may charge a higher rent than the rent in this Lease. Notwithstanding the foregoing, if Tenant vacates the Unit in violation of the terms of this Lease, only then shall Landlord use reasonable efforts to re-rent the Unit at the lesser of the fair market value of the Unit or the Monthly Rent paid under this Lease pursuant to Real Property Law §227-e.</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2">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Whether the Unit is re-rented or not, Tenant must pay to Landlord as damages: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4">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difference between the Monthly Rent in this Lease and the amount, if any, of the rents collected in any later lease or leases of the Unit for what would have been the remaining period of this Lease except to the extent limited by Real Property Law §227-e if applicable; and</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6">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advertisements, broker’s fees and the cost of putting the Unit in good condition for re-rental; and</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8">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Landlord’s expenses for attorney’s fees except in the event of a default judgment.</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E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pay all damages due in monthly installments on the rent day established in this Lease. Any legal action brought to collect one or more monthly installments of damages shall not prejudice in any way Landlord’s right to collect the damages for a later month by a similar action. If the rent collected by Landlord from a subsequent tenant of the Unit is more than the unpaid rent and damages which Tenant owes Landlord, Tenant cannot receive the difference. Landlord’s failure to re-rent to another tenant will not release or change your liability for damages, unless the failure is due to Landlord’s deliberate inaction.</w:t>
      </w:r>
    </w:p>
    <w:p w:rsidR="00000000" w:rsidDel="00000000" w:rsidP="00000000" w:rsidRDefault="00000000" w:rsidRPr="00000000" w14:paraId="000000E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Tenant does not do everything Tenant has agreed to do, or if Tenant does anything which shows that Tenant intends not to do what Tenant has agreed to do, Landlord has the right to ask a court to make Tenant carry out Tenant’s agreement or to give Landlord such other relief as the Court can provide. This is in addition to the other remedies provided in this Lease.</w:t>
      </w:r>
    </w:p>
    <w:p w:rsidR="00000000" w:rsidDel="00000000" w:rsidP="00000000" w:rsidRDefault="00000000" w:rsidRPr="00000000" w14:paraId="000000E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ATTORNEYS’ FEES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any action or proceeding to enforce any part of this Lease or defend any claim brought by Tenant or on behalf of Tenant, the prevailing party will recover reasonable attorneys’ fees and court costs including, without limitation, those attorneys’ fees for the preparation and service of all predicate notices and communications with Tenant and/or Tenant’s counsel.</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{{attorney_fees.cap_enabled}}</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checkbox is selected, attorneys’ fees recovery for the prevailing party shall not exceed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{{attorney_fees.cap_amount}}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excluding costs.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1">
      <w:pPr>
        <w:pStyle w:val="Heading3"/>
        <w:numPr>
          <w:ilvl w:val="0"/>
          <w:numId w:val="11"/>
        </w:numPr>
        <w:tabs>
          <w:tab w:val="left" w:leader="none" w:pos="948"/>
        </w:tabs>
        <w:spacing w:after="0" w:before="0" w:line="240" w:lineRule="auto"/>
        <w:ind w:left="948" w:right="0" w:hanging="360"/>
        <w:jc w:val="left"/>
        <w:rPr/>
      </w:pPr>
      <w:r w:rsidDel="00000000" w:rsidR="00000000" w:rsidRPr="00000000">
        <w:rPr>
          <w:rtl w:val="0"/>
        </w:rPr>
        <w:t xml:space="preserve">ABANDONMENT / EXTENDED ABSENCE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0F3">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Abandonment Defined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shall be deemed abandoned by Tenant where the Monthly Rent or Additional Charges have been due and unpaid for at least 14 consecutive days and Landlord reasonably believes that Tenant has abandoned the Unit, with the Landlord being under no obligation to be able to articulate a particular reason.</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5">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Extended Absence by Tenant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if Tenant will be absent from the Unit for a period of 10 consecutive days or more. During such absence, Landlord may enter the Unit as reasonably necessary to maintain the Unit and inspect for damage and needed repairs, by force or otherwise.</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Landlord’s Remedies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abandons the Unit or any part of the Unit, Tenant will be liable for Landlord’s actual damages, including, but not limited to, the balance of the Monthly Rent for the remainder of the term less any law requiring Landlord to mitigate damages. Tenant will also be responsible for Landlord’s costs of advertising and screening for a replacement tenant, locator service fees, unit turn, attorneys’ fees, any damages to the Unit caused by Tenant (exclusive of normal wear and tear) and any other damages permitted pursuant to this Lease, at law, or in equity.</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9">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 Left in Unit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Occupants and their guests or invitees leave any personal property in the Unit or the Community (including vehicles) after abandonment, eviction or surrender of the Unit at the end of the term, Landlord may clean up, make repairs in, and relet the Unit; determine any Security Deposit deductions; and store, dispose or sell property left in the Unit or the Community, as permitted by law or in equity.</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B">
      <w:pPr>
        <w:pStyle w:val="Heading3"/>
        <w:numPr>
          <w:ilvl w:val="0"/>
          <w:numId w:val="11"/>
        </w:numPr>
        <w:tabs>
          <w:tab w:val="left" w:leader="none" w:pos="948"/>
        </w:tabs>
        <w:spacing w:after="0" w:before="0" w:line="240" w:lineRule="auto"/>
        <w:ind w:left="948" w:right="0" w:hanging="360"/>
        <w:jc w:val="left"/>
        <w:rPr>
          <w:b w:val="0"/>
          <w:bCs w:val="0"/>
        </w:rPr>
      </w:pPr>
      <w:r w:rsidDel="00000000" w:rsidR="00000000" w:rsidRPr="00000000">
        <w:rPr>
          <w:rtl w:val="0"/>
        </w:rPr>
        <w:t xml:space="preserve">MISCELLANEOUS AND DISCLOSURES</w:t>
      </w:r>
      <w:r w:rsidDel="00000000" w:rsidR="00000000" w:rsidRPr="00000000">
        <w:rPr>
          <w:b w:val="0"/>
          <w:bCs w:val="0"/>
          <w:rtl w:val="0"/>
        </w:rPr>
        <w:t xml:space="preserve">.</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0FD">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Smoking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0FF">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91"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or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{{smoking.in_unit_no}}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NOT allowed in the Unit.</w:t>
      </w:r>
    </w:p>
    <w:p w:rsidR="00000000" w:rsidDel="00000000" w:rsidP="00000000" w:rsidRDefault="00000000" w:rsidRPr="00000000" w14:paraId="00000100">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If the Unit has been designated a non-smoking unit, it is a material breach of the Lease for Occupants or their guests or invitees to engage in smoking, including vaping, any substance in the Unit or exclusive use areas such as balconies, porches, or patios.</w:t>
      </w:r>
    </w:p>
    <w:p w:rsidR="00000000" w:rsidDel="00000000" w:rsidP="00000000" w:rsidRDefault="00000000" w:rsidRPr="00000000" w14:paraId="00000101">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0" w:hanging="360"/>
        <w:jc w:val="both"/>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It is a material breach of the Lease for the Occupants or their guests or invitees to:</w:t>
      </w:r>
    </w:p>
    <w:p w:rsidR="00000000" w:rsidDel="00000000" w:rsidP="00000000" w:rsidRDefault="00000000" w:rsidRPr="00000000" w14:paraId="00000102">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Violate any Federal, State or local law regarding smoking while in the Unit;</w:t>
      </w:r>
    </w:p>
    <w:p w:rsidR="00000000" w:rsidDel="00000000" w:rsidP="00000000" w:rsidRDefault="00000000" w:rsidRPr="00000000" w14:paraId="00000103">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231f2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 non-smoking unit; or</w:t>
      </w:r>
    </w:p>
    <w:p w:rsidR="00000000" w:rsidDel="00000000" w:rsidP="00000000" w:rsidRDefault="00000000" w:rsidRPr="00000000" w14:paraId="00000104">
      <w:pPr>
        <w:keepNext w:val="0"/>
        <w:keepLines w:val="0"/>
        <w:pageBreakBefore w:val="0"/>
        <w:widowControl w:val="0"/>
        <w:numPr>
          <w:ilvl w:val="3"/>
          <w:numId w:val="11"/>
        </w:numPr>
        <w:pBdr>
          <w:top w:space="0" w:sz="0" w:val="nil"/>
          <w:left w:space="0" w:sz="0" w:val="nil"/>
          <w:bottom w:space="0" w:sz="0" w:val="nil"/>
          <w:right w:space="0" w:sz="0" w:val="nil"/>
          <w:between w:space="0" w:sz="0" w:val="nil"/>
        </w:pBdr>
        <w:shd w:fill="auto" w:val="clear"/>
        <w:tabs>
          <w:tab w:val="left" w:leader="none" w:pos="2027"/>
          <w:tab w:val="left" w:leader="none" w:pos="2028"/>
        </w:tabs>
        <w:spacing w:after="0" w:before="0" w:line="240" w:lineRule="auto"/>
        <w:ind w:left="202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31f20"/>
          <w:sz w:val="22"/>
          <w:szCs w:val="22"/>
          <w:u w:val="none"/>
          <w:shd w:fill="auto" w:val="clear"/>
          <w:vertAlign w:val="baseline"/>
          <w:rtl w:val="0"/>
        </w:rPr>
        <w:t xml:space="preserve">Smoke in any multi-unit residence common area in which Landlord has prohibited smoking.</w:t>
      </w:r>
    </w:p>
    <w:p w:rsidR="00000000" w:rsidDel="00000000" w:rsidP="00000000" w:rsidRDefault="00000000" w:rsidRPr="00000000" w14:paraId="00000105">
      <w:pPr>
        <w:keepNext w:val="0"/>
        <w:keepLines w:val="0"/>
        <w:pageBreakBefore w:val="0"/>
        <w:widowControl w:val="0"/>
        <w:numPr>
          <w:ilvl w:val="2"/>
          <w:numId w:val="11"/>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Compliance with the smoking policy is one of Tenant’s material obligations under the Lease. It is a violation of a substantial obligation of this Lease if the Occupants their guests or invitees, or anyone else whom Tenant permits to be on a long-term or short-term basis in the Community or within 15 feet of any entrance thereof to violate the smoking policy. Tenant agrees that any damage caused to the Unit due to smoking, even if permitted by the Landlord, is considered more than normal wear and tear and damages resulting therefrom will be deducted from the Security Deposit. Tenant understands that they will be held liable for the cost of the labor and materials associated with removing and remedying any smoke damage, including, but not limited to, discoloration of walls, smoke odors, related cleaning, painting, or other damages caused by smoking.</w:t>
      </w:r>
    </w:p>
    <w:p w:rsidR="00000000" w:rsidDel="00000000" w:rsidP="00000000" w:rsidRDefault="00000000" w:rsidRPr="00000000" w14:paraId="0000010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Water Filled Furnishings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 keep waterbeds, aquariums or other containers capable of holding water in excess of five gallons of water (except for residential drinking), whether with or without water.</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Statutory Rights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may or may not have statutory rights of early termination of this Lease, including, but not limited to, with regard to domestic violence, senior citizenship, and military status (see, e.g., Servicemembers Civil Relief Act), and should consult an attorney to see if any rights are applicable.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Fair Housing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is Landlord’s policy to provide reasonable accommodations and to allow reasonable modifications consistent with federal and state laws for any Tenant with a disability in order for that Tenant to apply for, use and enjoy the Unit. If Tenant believes that a disability-related issue requires Landlord’s special attention, Tenant agrees to immediately notify Landlord, preferably in writing, of their request for reasonable accommodation and/or modification.</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10C">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Electronic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Parties agree that this Lease may be executed in part or entirely by electronic signatures and that the signatures appearing on this Lease, addenda and any renewal thereof are the same as handwritten signatures for all purposes, including validity, enforceability and admissibility.</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0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RECORDING OF LEASE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shall be a material breach of this Lease if Tenant records this Lease in the public records of any public office and Landlord shall be entitled to all rights and remedies that Landlord has at law or in equity if Tenant breaches this provision.</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0">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GOVERNING LAW; JURISDICTION; VENUE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Lease shall be governed and construed in accordance with the laws of the State of New York, without regard to conflicts of laws principles. Tenant consents to personal jurisdiction and venue in the courts located in the county where the Unit is located.</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2">
      <w:pPr>
        <w:pStyle w:val="Heading3"/>
        <w:numPr>
          <w:ilvl w:val="0"/>
          <w:numId w:val="11"/>
        </w:numPr>
        <w:tabs>
          <w:tab w:val="left" w:leader="none" w:pos="948"/>
        </w:tabs>
        <w:spacing w:after="0" w:before="0" w:line="240" w:lineRule="auto"/>
        <w:ind w:left="948" w:right="566" w:hanging="360"/>
        <w:jc w:val="both"/>
        <w:rPr/>
      </w:pPr>
      <w:r w:rsidDel="00000000" w:rsidR="00000000" w:rsidRPr="00000000">
        <w:rPr>
          <w:rtl w:val="0"/>
        </w:rPr>
        <w:t xml:space="preserve">JURY TRIAL WAIVER. TO MINIMIZE LEGAL EXPENSES AND TO THE EXTENT ALLOWED BY LAW, THE PARTIES IRREVOCABLY WAIVE ANY AND ALL RIGHTS TO TRIAL BY JURY IN ANY LEGAL PROCEEDING OR ACTION ARISING OUT OF OR RELATED TO THIS LEASE. THE PARTIES’ WAIVER SURVIVES THE EXPIRATION OR TERMINATION OF THIS LEASE.</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116">
      <w:pPr>
        <w:pStyle w:val="Heading3"/>
        <w:numPr>
          <w:ilvl w:val="0"/>
          <w:numId w:val="11"/>
        </w:numPr>
        <w:tabs>
          <w:tab w:val="left" w:leader="none" w:pos="948"/>
        </w:tabs>
        <w:spacing w:after="0" w:before="91" w:line="240" w:lineRule="auto"/>
        <w:ind w:left="948" w:right="566" w:hanging="360"/>
        <w:jc w:val="both"/>
        <w:rPr/>
      </w:pPr>
      <w:r w:rsidDel="00000000" w:rsidR="00000000" w:rsidRPr="00000000">
        <w:rPr>
          <w:rtl w:val="0"/>
        </w:rPr>
        <w:t xml:space="preserve">CLASS ACTION WAIVER. TO THE EXTENT ALLOWED BY LAW, THE PARTIES IRREVOCABLY WAIVE ANY RIGHT TO ASSERT ANY CLAIMS AGAINST THE OTHER PARTY OR THE PARTIES’ REPRESENTATIVES AS A MEMBER OR REPRESENTATIVE IN ANY CLASS OR REPRESENTATIVE ACTION. THE PARTIES’ WAIVER SURVIVES THE EXPIRATION OR TERMINATION OF THIS LEASE.</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07"/>
          <w:tab w:val="left" w:leader="none" w:pos="3877"/>
          <w:tab w:val="left" w:leader="none" w:pos="4097"/>
          <w:tab w:val="left" w:leader="none" w:pos="4867"/>
          <w:tab w:val="left" w:leader="none" w:pos="5087"/>
          <w:tab w:val="left" w:leader="none" w:pos="5857"/>
          <w:tab w:val="left" w:leader="none" w:pos="6077"/>
          <w:tab w:val="left" w:leader="none" w:pos="6847"/>
          <w:tab w:val="left" w:leader="none" w:pos="7067"/>
          <w:tab w:val="left" w:leader="none" w:pos="7837"/>
          <w:tab w:val="left" w:leader="none" w:pos="8057"/>
          <w:tab w:val="left" w:leader="none" w:pos="8827"/>
          <w:tab w:val="left" w:leader="none" w:pos="9831"/>
          <w:tab w:val="left" w:leader="none" w:pos="10835"/>
        </w:tabs>
        <w:spacing w:after="0" w:before="0" w:line="240" w:lineRule="auto"/>
        <w:ind w:left="94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initials:</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11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SEVERABILITY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 court or other body of competent jurisdiction determines any provision of this Lease and any rider to be invalid, unenforceable, or prohibited by applicable law, the remaining provisions will remain fully valid, enforceable, and binding on the Parties. The court shall interpret this Lease and any riders, and the provisions therein, in a manner so as to uphold the valid portions of this Lease and any riders, while preserving the intent of the Parties.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1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7"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WAIVER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waiver of any provision hereof shall be effective unless made in writing and signed by Landlord. The failure of Landlord to require strict performance of any term or obligation of this Lease, or the waiver by Landlord of any breach of this Lease, shall not prevent any subsequent enforcement of such term or obligation or be deemed a waiver of any subsequent breach. The acceptance of Monthly Rent shall not waive, impair or impede any right, claim or remedy available at law or pursuant to this Lease.</w:t>
      </w:r>
    </w:p>
    <w:p w:rsidR="00000000" w:rsidDel="00000000" w:rsidP="00000000" w:rsidRDefault="00000000" w:rsidRPr="00000000" w14:paraId="0000011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 OF ESSENCE AND MODIFICATION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Time is of the essence in this Lease. The Parties agree that</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7"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document contains the entire agreement between them, and this Lease shall not be modified, changed, altered or amended in any way except through a written amendment signed by the Parties or as permitted by law. Tenant is not relying on any oral representations or brochures and any and all prior oral representations or writings shall be deemed merged into this Lease. This Lease may be executed in duplicate, and Tenant acknowledges that a copy thereof was delivered to Tenant at the time the Lease was fully executed.</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FORCE MAJEURE EVENTS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shall not be liable or responsible to Tenant, nor be deemed to have defaulted under or breached this Lease, for any failure or delay in fulfilling or performing any term of this Lease, when and to the extent such failure or delay is caused by or results from acts beyond Landlord’s control, including, without limitation, the following force majeure events (the “Force Majeure Events”): (i) acts of God;</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flood, fire, earthquake, or explosion; (iii) war, invasion, hostilities (whether war is declared or not), terrorist threats or acts, riot, or other civil unrest; (iv) government order or law; (v) actions, embargoes, or blockades in effect on or after the date of this Lease; (vi) action by any governmental authority; (vii) national or regional emergency; (viii) strikes, labor stoppages or slowdowns, or other industrial disturbances; (ix) shortage of adequate power or transportation facilities; (x) pandemics, epidemics, or other public health emergencies; and</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(xi) other occurrences which are beyond Landlord’s control. Landlord, at Landlord’s sole discretion, may terminate this Lease if Force Majeure Events cause the Unit or parts of the Community to be uninhabitable by giving written notice to Tenant, returning any advance payments of Monthly Rent, and returning any Security Deposit, minus any lawful deductions to Tenant. To the fullest extent allowed by law, Landlord is not responsible for any cost of temporary or alternate housing incurred by Tenant because of the termination of this Lease due to Force Majeure Events.</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JOINT, SEVERAL, AND INDIVIDUAL OBLIGATIONS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more than one Tenant signs this Lease, each one shall be individually and completely responsible for the performance of all obligations of Tenant under this Lease, jointly and severally with every other Tenant, and individually, irrespective of whether such Tenant is in possession of the Unit. If the full amount of the Monthly Rent is not paid, no individual Tenant will be entitled to remain in possession of the Unit simply by paying a portion or a percentage portion of the overall Monthly Rent under whatever arrangement may exist among or between the Tenants themselves. Notice by Landlord to one Tenant is notice to all Occupants. Notice by one Tenant to Landlord binds all Tenants.</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7">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7" w:right="56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INTERPRETATION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intends for this Lease to be fully compliant with New York law. This Lease shall be construed without regard to any presumption or rule requiring construction or interpretation against the party drafting an instrument or causing any instrument to be drafted. Wherever appropriate in this Lease, a singular term shall be construed to mean the plural where necessary, and a plural term the singular. Tenant and Occupants are sometimes referred to herein interchangeably, and should be interpreted as broadly as the context, law, or equity requires. Landlord means the Landlord of the property or any of Landlord’s successors in interest or assigns, and not the Landlord’s property manager, if any. The headings in this Lease are for reference only and shall not affect the interpretation of this Lease. No reference in this Lease to any renewal of this Lease shall be deemed to imply that either party has a right to renew this Lease. All references in this Lease to “Landlord’s discretion,” or to the “discretion of Landlord,” or any similar phrases, shall mean the Landlord’s sole and absolute discretion based upon the facts and circumstances known to Landlord at the time the decision was made. All references to “guests and invitees”, or any similar phrases, shall be deemed to include the agents, representatives, visitors, licensees, employees, and contractors of the Occupants. Landlord can designate agents or employees to perform its duties under this Lease or to assert Landlord’s rights and remedies pursuant to this Lease. All of the rules and the terms of the Lease and all Addenda to the Lease are deemed to be material obligations.</w:t>
      </w:r>
    </w:p>
    <w:p w:rsidR="00000000" w:rsidDel="00000000" w:rsidP="00000000" w:rsidRDefault="00000000" w:rsidRPr="00000000" w14:paraId="0000012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25"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SUCCESSOR INTERESTS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Lease shall be binding on the Parties and on those who lawfully succeed to the interest, rights and obligations of the Parties.</w:t>
      </w:r>
    </w:p>
    <w:p w:rsidR="00000000" w:rsidDel="00000000" w:rsidP="00000000" w:rsidRDefault="00000000" w:rsidRPr="00000000" w14:paraId="0000012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948"/>
        </w:tabs>
        <w:spacing w:after="0" w:before="68" w:line="240" w:lineRule="auto"/>
        <w:ind w:left="948" w:right="569"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ADDITIONAL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Any amendments, riders, forms, or disclosures that Tenant signs contemporaneously with the execution of this Lease are attached to and incorporated into this Lease.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8"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Lease is entered into between Landlord and Tenant as of the Effective Date set forth above.</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4">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5">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6">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7">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39">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A">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B">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C">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14:paraId="0000013E">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3F">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1">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14:paraId="00000143">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4">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5">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14:paraId="00000146">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147">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75">
      <w:pPr>
        <w:spacing w:before="0" w:after="0" w:line="20" w:lineRule="exact"/>
        <w:ind w:left="0" w:right="0" w:firstLine="0"/>
        <w:jc w:val="left"/>
        <w:rPr>
          <w:sz w:val="16"/>
          <w:szCs w:val="16"/>
        </w:rPr>
        <w:sectPr>
          <w:footerReference r:id="rId25" w:type="default"/>
          <w:type w:val="nextPage"/>
          <w:pgSz w:h="15840" w:w="12240" w:orient="portrait"/>
          <w:pgMar w:bottom="477" w:top="823" w:left="420" w:right="420" w:header="0" w:footer="177"/>
        </w:sectPr>
      </w:pPr>
    </w:p>
    <w:p w:rsidR="00000000" w:rsidDel="00000000" w:rsidP="00000000" w:rsidRDefault="00000000" w:rsidRPr="00000000" w14:paraId="00000176">
      <w:pPr>
        <w:pStyle w:val="Heading3"/>
        <w:spacing w:before="68" w:lineRule="auto"/>
        <w:ind w:left="3157" w:right="3139" w:firstLine="0"/>
        <w:jc w:val="center"/>
        <w:rPr/>
      </w:pPr>
      <w:r w:rsidDel="00000000" w:rsidR="00000000" w:rsidRPr="00000000">
        <w:rPr>
          <w:rtl w:val="0"/>
        </w:rPr>
        <w:t xml:space="preserve">Utilities – Simple Form</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Form shall be resolved in favor of this Form. Landlord and Tenant agree as follows:</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3"/>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tcBorders>
              <w:right w:color="000000" w:space="0" w:sz="4" w:val="dashed"/>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9"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OR SERVICE</w:t>
            </w:r>
          </w:p>
        </w:tc>
        <w:tc>
          <w:tcPr>
            <w:tcBorders>
              <w:left w:color="000000" w:space="0" w:sz="4" w:val="dashed"/>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38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Water</w:t>
            </w:r>
          </w:p>
        </w:tc>
        <w:tc>
          <w:tcPr>
            <w:tcBorders>
              <w:left w:color="000000" w:space="0" w:sz="4" w:val="dashed"/>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Sewer</w:t>
            </w:r>
          </w:p>
        </w:tc>
        <w:tc>
          <w:tcPr>
            <w:tcBorders>
              <w:left w:color="000000" w:space="0" w:sz="4" w:val="dashed"/>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{{utility.sewer}}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Stormwater / Drainage</w:t>
            </w:r>
          </w:p>
        </w:tc>
        <w:tc>
          <w:tcPr>
            <w:tcBorders>
              <w:left w:color="000000" w:space="0" w:sz="4" w:val="dashed"/>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{{utility.stormwater}}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Gas</w:t>
            </w:r>
          </w:p>
        </w:tc>
        <w:tc>
          <w:tcPr>
            <w:tcBorders>
              <w:left w:color="000000" w:space="0" w:sz="4" w:val="dashed"/>
            </w:tcBorders>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{{utility.gas}}</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Heating Gas or Oil</w:t>
            </w:r>
          </w:p>
        </w:tc>
        <w:tc>
          <w:tcPr>
            <w:tcBorders>
              <w:left w:color="000000" w:space="0" w:sz="4" w:val="dashed"/>
            </w:tcBorders>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{{utility.heating}}</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Steam Heat</w:t>
            </w:r>
          </w:p>
        </w:tc>
        <w:tc>
          <w:tcPr>
            <w:tcBorders>
              <w:left w:color="000000" w:space="0" w:sz="4" w:val="dashed"/>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{{utility.steam_heat}}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Electricity</w:t>
            </w:r>
          </w:p>
        </w:tc>
        <w:tc>
          <w:tcPr>
            <w:tcBorders>
              <w:left w:color="000000" w:space="0" w:sz="4" w:val="dashed"/>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{{utility.electricity}}</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Domestic Hot Water</w:t>
            </w:r>
          </w:p>
        </w:tc>
        <w:tc>
          <w:tcPr>
            <w:tcBorders>
              <w:left w:color="000000" w:space="0" w:sz="4" w:val="dashed"/>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{{utility.hot_water}}</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w:t>
            </w:r>
          </w:p>
        </w:tc>
        <w:tc>
          <w:tcPr>
            <w:tcBorders>
              <w:left w:color="000000" w:space="0" w:sz="4" w:val="dashed"/>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{{utility.trash}}</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Pest Control</w:t>
            </w:r>
          </w:p>
        </w:tc>
        <w:tc>
          <w:tcPr>
            <w:tcBorders>
              <w:left w:color="000000" w:space="0" w:sz="4" w:val="dashed"/>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{{utility.pest_control}}</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Cable / Satellite TV (Service)</w:t>
            </w:r>
          </w:p>
        </w:tc>
        <w:tc>
          <w:tcPr>
            <w:tcBorders>
              <w:left w:color="000000" w:space="0" w:sz="4" w:val="dashed"/>
            </w:tcBorders>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{{utility.cable}}</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Internet Access (Service)</w:t>
            </w:r>
          </w:p>
        </w:tc>
        <w:tc>
          <w:tcPr>
            <w:tcBorders>
              <w:left w:color="000000" w:space="0" w:sz="4" w:val="dashed"/>
            </w:tcBorders>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{{utility.internet}}</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{{utility.other1_label}}</w:t>
            </w:r>
          </w:p>
        </w:tc>
        <w:tc>
          <w:tcPr>
            <w:tcBorders>
              <w:left w:color="000000" w:space="0" w:sz="4" w:val="dashed"/>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{{utility.other1}}</w:t>
            </w:r>
          </w:p>
        </w:tc>
      </w:tr>
      <w:tr>
        <w:trPr>
          <w:cantSplit w:val="0"/>
          <w:trHeight w:val="252" w:hRule="atLeast"/>
          <w:tblHeader w:val="0"/>
        </w:trPr>
        <w:tc>
          <w:tcPr>
            <w:tcBorders>
              <w:right w:color="000000" w:space="0" w:sz="4" w:val="dashed"/>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{{utility.other2_label}}</w:t>
            </w:r>
          </w:p>
        </w:tc>
        <w:tc>
          <w:tcPr>
            <w:tcBorders>
              <w:left w:color="000000" w:space="0" w:sz="4" w:val="dashed"/>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{{utility.other2}}</w:t>
            </w:r>
          </w:p>
        </w:tc>
      </w:tr>
    </w:tbl>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9">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6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RESPONSIBLE PARTY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Responsible Party in the above table is solely responsible for arranging with the applicable utility and service providers for the installation (if any), billing and prompt payment of the utilities or services for which they are responsible for. Landlord will pay all common area utilities that do not exclusively serve the Unit. Tenant agrees not to tamper with, adjust, or disconnect any utility sub-metering system or device. Violation of this provision is a material breach of the Lease and may subject Tenant to eviction or other remedies available to Landlord under the Lease, this Utility Addendum and at law.</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B">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7" w:right="56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DIRECT BILLING BY LOCAL UTILITY PROVIDER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each utility that Tenant is responsible to pay directly to the utility provider, Tenant shall establish an account with the utility provider on or before the Commencement Date, including, if applicable, an individual meter for Tenant in Tenant’s name. Tenant’s failure to timely establish and maintain an account with the utility provider or to timely pay the utility provider is a material breach of the Lease. Notwithstanding the preceding sentence, Tenant will timely repay Landlord for any directly billed utility that services the Unit and is Tenant’s responsibility that is billed to Landlord. Tenant will also pay as liquidated damages for any month for which Tenant does not transfer service to Tenant’s name, also called Landlord’s Vacant Cost Recovery (“VCR”). As it would be difficult to ascertain the actual damage caused by Tenant’s failure to transfer service, Landlord and Tenant agree that the VCR fee is a reasonable fee for the damages that Landlord will suffer for assuming Tenant’s responsibility in contacting the utility company, advancing Tenant’s monthly payment and incurring costs associated with handling the communications between Tenant and the utility company. Tenant consents to and gives Landlord the right to request any utility provider to provide Landlord information about Tenant’s current and pending utility connections and disconnections of service to the Unit.</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UTILITY PAYMENT POST MOVE-OUT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Tenant breaches the Lease by vacating the Unit before the end of the term, Tenant will be responsible for utilities until the earlier of (i) the end of the term, or (ii) until the Unit is re-rented.</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9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WATER CONSERVATION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shall notify Landlord of any leaks, drips, water fixtures that do not shut off properly, including, but not limited to, a toilet, or other problems with the water system, including, but not limited to, problems with water-saving devices. Landlord will investigate any such report by Tenant, and, if necessary, repair these problems.</w:t>
      </w:r>
    </w:p>
    <w:p w:rsidR="00000000" w:rsidDel="00000000" w:rsidP="00000000" w:rsidRDefault="00000000" w:rsidRPr="00000000" w14:paraId="000001A0">
      <w:pPr>
        <w:spacing w:before="0" w:after="0" w:line="20" w:lineRule="exact"/>
        <w:ind w:left="0" w:right="0" w:firstLine="0"/>
        <w:jc w:val="center"/>
        <w:rPr>
          <w:sz w:val="16"/>
          <w:szCs w:val="16"/>
        </w:rPr>
        <w:sectPr>
          <w:footerReference r:id="rId26" w:type="default"/>
          <w:type w:val="nextPage"/>
          <w:pgSz w:h="15840" w:w="12240" w:orient="portrait"/>
          <w:pgMar w:bottom="477" w:top="823" w:left="420" w:right="420" w:header="0" w:footer="177"/>
          <w:pgNumType w:start="1"/>
        </w:sectPr>
      </w:pPr>
    </w:p>
    <w:p w:rsidR="00000000" w:rsidDel="00000000" w:rsidP="00000000" w:rsidRDefault="00000000" w:rsidRPr="00000000" w14:paraId="000001A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6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Unless caused by Landlord’s willful acts or omissions, Landlord shall not be liable in any manner for any interruption in services or utilities to be provided to the Unit or common areas to the maximum extent permitted by law. Landlord shall use commercially reasonable efforts to facilitate the restoration of utility services in a timely manner. Tenant shall not be entitled to rent abatement due to an interruption of utility services to the Unit or common areas unless otherwise provided by law. Tenant shall not engage in dangerous or wasteful behavior regarding Landlord’s utilities. Landlord is entitled to amend, modify, or terminate any agreement with a utility or service provider at any time without notice to Tenant. If Landlord provides cable/satellite service, specific channels are not guaranteed, and the channel lineup provided by the service provider may change without notice. If Landlord provides internet access service, a minimum broadband speed and coverage area are not guaranteed.</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3">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Form have the meanings given to them in the Lease.</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Form is entered into between Landlord and Tenant as of the Effective Date set forth in the Lease.</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1E1">
      <w:pPr>
        <w:spacing w:before="0" w:after="0" w:line="20" w:lineRule="exact"/>
        <w:ind w:left="0" w:right="0" w:firstLine="0"/>
        <w:jc w:val="left"/>
        <w:rPr>
          <w:sz w:val="16"/>
          <w:szCs w:val="16"/>
        </w:rPr>
        <w:sectPr>
          <w:footerReference r:id="rId26" w:type="default"/>
          <w:type w:val="nextPage"/>
          <w:pgSz w:h="15840" w:w="12240" w:orient="portrait"/>
          <w:pgMar w:bottom="477" w:top="1083" w:left="420" w:right="420" w:header="0" w:footer="177"/>
        </w:sectPr>
      </w:pPr>
    </w:p>
    <w:p w:rsidR="00000000" w:rsidDel="00000000" w:rsidP="00000000" w:rsidRDefault="00000000" w:rsidRPr="00000000" w14:paraId="000001E2">
      <w:pPr>
        <w:pStyle w:val="Heading3"/>
        <w:spacing w:before="68" w:lineRule="auto"/>
        <w:ind w:left="3154" w:right="3155" w:firstLine="0"/>
        <w:jc w:val="center"/>
        <w:rPr/>
      </w:pPr>
      <w:r w:rsidDel="00000000" w:rsidR="00000000" w:rsidRPr="00000000">
        <w:rPr>
          <w:rtl w:val="0"/>
        </w:rPr>
        <w:t xml:space="preserve">Packages Rider</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AUTHORITY TO ACCEPT PACKAGES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 a convenience to Tenant, Landlord offers to accept and sign for delivery of packages (excluding food or perishables) or letters (excluding certified or registered mail) delivered to Tenant’s address in Tenant’s absence during normal business hours. Accordingly, Tenant authorizes Landlord to accept delivery of, sign receipts for, and collect, hold and store packages, goods or letters delivered to Occupants through the United States Postal Service or commercial or personal carriers such as UPS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Federal Express</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or DHL</w:t>
      </w:r>
      <w:r w:rsidDel="00000000" w:rsidR="00000000" w:rsidRPr="00000000">
        <w:rPr>
          <w:rFonts w:ascii="Times New Roman" w:cs="Times New Roman" w:eastAsia="Times New Roman" w:hAnsi="Times New Roman"/>
          <w:b w:val="0"/>
          <w:bCs w:val="0"/>
          <w:i w:val="0"/>
          <w:iCs w:val="0"/>
          <w:smallCaps w:val="0"/>
          <w:strike w:val="0"/>
          <w:color w:val="000000"/>
          <w:sz w:val="23.333333333333336"/>
          <w:szCs w:val="23.333333333333336"/>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Landlord does not accept appointment as Tenant’s agent for the service of process and Tenant intends no such appointment. Landlord retains the right to limit the size and other aspects of delivery such as items that need special handling and refrigeration. If Tenant does not pick up any packages, goods or letters from Landlord within a reasonable time, as determined in Landlord’s sole discretion, Landlord may return such packages, goods or letters to sender at Tenant’s expense.</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agrees that Landlord is not responsible for and does not accept liability for any damaged, lost, undelivered or stolen deliveries, packages or letters and Tenant agrees to hold Landlord harmless for same. Landlord can discontinue this service any time and at Landlord’s sole discretion.</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Addendum have the meanings given to them in the Lease.</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1D">
      <w:pPr>
        <w:spacing w:before="0" w:after="0" w:line="20" w:lineRule="exact"/>
        <w:ind w:left="0" w:right="0" w:firstLine="0"/>
        <w:jc w:val="right"/>
        <w:rPr>
          <w:sz w:val="16"/>
          <w:szCs w:val="16"/>
        </w:rPr>
        <w:sectPr>
          <w:footerReference r:id="rId27" w:type="default"/>
          <w:type w:val="nextPage"/>
          <w:pgSz w:h="15840" w:w="12240" w:orient="portrait"/>
          <w:pgMar w:bottom="477" w:top="823" w:left="420" w:right="420" w:header="0" w:footer="177"/>
          <w:pgNumType w:start="1"/>
        </w:sectPr>
      </w:pPr>
    </w:p>
    <w:p w:rsidR="00000000" w:rsidDel="00000000" w:rsidP="00000000" w:rsidRDefault="00000000" w:rsidRPr="00000000" w14:paraId="0000021E">
      <w:pPr>
        <w:spacing w:before="68" w:lineRule="auto"/>
        <w:ind w:left="3155" w:right="3155" w:firstLine="0"/>
        <w:jc w:val="center"/>
        <w:rPr>
          <w:b w:val="1"/>
          <w:bCs w:val="1"/>
          <w:sz w:val="21"/>
          <w:szCs w:val="21"/>
        </w:rPr>
      </w:pPr>
      <w:r w:rsidDel="00000000" w:rsidR="00000000" w:rsidRPr="00000000">
        <w:rPr>
          <w:b w:val="1"/>
          <w:bCs w:val="1"/>
          <w:sz w:val="21"/>
          <w:szCs w:val="21"/>
          <w:rtl w:val="0"/>
        </w:rPr>
        <w:t xml:space="preserve">Key Rider</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p w:rsidR="00000000" w:rsidDel="00000000" w:rsidP="00000000" w:rsidRDefault="00000000" w:rsidRPr="00000000" w14:paraId="00000220">
      <w:pPr>
        <w:spacing w:before="0" w:lineRule="auto"/>
        <w:ind w:left="588" w:right="566" w:firstLine="720.0000000000001"/>
        <w:jc w:val="both"/>
        <w:rPr>
          <w:sz w:val="21"/>
          <w:szCs w:val="21"/>
        </w:rPr>
      </w:pPr>
      <w:r w:rsidDel="00000000" w:rsidR="00000000" w:rsidRPr="00000000">
        <w:rPr>
          <w:sz w:val="21"/>
          <w:szCs w:val="21"/>
          <w:rtl w:val="0"/>
        </w:rPr>
        <w:t xml:space="preserve">This Rider is incorporated into the Lease entered on </w:t>
      </w:r>
      <w:r>
        <w:rPr>
          <w:sz w:val="21"/>
          <w:szCs w:val="21"/>
          <w:u w:val="single"/>
          <w:rtl w:val="0"/>
        </w:rPr>
        <w:t xml:space="preserve">{{lease.effective_date}}</w:t>
      </w:r>
      <w:r>
        <w:rPr>
          <w:sz w:val="21"/>
          <w:szCs w:val="21"/>
          <w:rtl w:val="0"/>
          <w:u w:val="none"/>
        </w:rPr>
        <w:t xml:space="preserve">, by and between </w:t>
      </w:r>
      <w:r>
        <w:rPr>
          <w:sz w:val="21"/>
          <w:szCs w:val="21"/>
          <w:rtl w:val="0"/>
          <w:u w:val="single"/>
        </w:rPr>
        <w:t xml:space="preserve">{{landlord.entity_name}}</w:t>
      </w:r>
      <w:r>
        <w:rPr>
          <w:sz w:val="21"/>
          <w:szCs w:val="21"/>
          <w:rtl w:val="0"/>
          <w:u w:val="none"/>
        </w:rPr>
        <w:t xml:space="preserve"> (the “Landlord”) and </w:t>
      </w:r>
      <w:r>
        <w:rPr>
          <w:sz w:val="21"/>
          <w:szCs w:val="21"/>
          <w:u w:val="single"/>
          <w:rtl w:val="0"/>
        </w:rPr>
        <w:t xml:space="preserve">{{tenant.names}}</w:t>
      </w:r>
      <w:r w:rsidDel="00000000" w:rsidR="00000000" w:rsidRPr="00000000">
        <w:rPr>
          <w:sz w:val="21"/>
          <w:szCs w:val="21"/>
          <w:rtl w:val="0"/>
        </w:rPr>
        <w:t xml:space="preserve"> (the “Tenant”) for the unit located at </w:t>
      </w:r>
      <w:r>
        <w:rPr>
          <w:sz w:val="21"/>
          <w:szCs w:val="21"/>
          <w:u w:val="single"/>
          <w:rtl w:val="0"/>
        </w:rPr>
        <w:t xml:space="preserve">{{property.address_full}}</w:t>
      </w:r>
      <w:r w:rsidDel="00000000" w:rsidR="00000000" w:rsidRPr="00000000">
        <w:rPr>
          <w:sz w:val="21"/>
          <w:szCs w:val="21"/>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2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ACCEPTANCE. </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Tenant acknowledges receiving the keys/keyless entry remotes/FOBs or similar devices identified in the table below (collectively, the “Keys”) and agrees to the listed replacement charges for Keys that are lost, damaged, or not returned to Landlord at the termination of the tenancy. Tenant must return all Keys to Landlord and surrender all rights to the Unit at the termination of the tenancy. Tenant shall not duplicate Keys or give them to unauthorized persons.</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tbl>
      <w:tblPr>
        <w:tblStyle w:val="Table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84"/>
        <w:gridCol w:w="3271"/>
        <w:gridCol w:w="3631"/>
      </w:tblGrid>
      <w:tr>
        <w:trPr>
          <w:cantSplit w:val="0"/>
          <w:trHeight w:val="482" w:hRule="atLeast"/>
          <w:tblHeader w:val="0"/>
        </w:trPr>
        <w:tc>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Key Description</w:t>
            </w:r>
          </w:p>
        </w:tc>
        <w:tc>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Quantity Issued</w:t>
            </w:r>
          </w:p>
        </w:tc>
        <w:tc>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Replacement Charge per Key or FOB</w:t>
            </w:r>
          </w:p>
        </w:tc>
      </w:tr>
      <w:tr>
        <w:trPr>
          <w:cantSplit w:val="0"/>
          <w:trHeight w:val="287" w:hRule="atLeast"/>
          <w:tblHeader w:val="0"/>
        </w:trPr>
        <w:tc>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Unit Key</w:t>
            </w:r>
          </w:p>
        </w:tc>
        <w:tc>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{{key.unit_qty}}</w:t>
            </w:r>
          </w:p>
        </w:tc>
        <w:tc>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{{key.unit_charge}}</w:t>
            </w:r>
          </w:p>
        </w:tc>
      </w:tr>
      <w:tr>
        <w:trPr>
          <w:cantSplit w:val="0"/>
          <w:trHeight w:val="287" w:hRule="atLeast"/>
          <w:tblHeader w:val="0"/>
        </w:trPr>
        <w:tc>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Building Key</w:t>
            </w:r>
          </w:p>
        </w:tc>
        <w:tc>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{{key.building_qty}}</w:t>
            </w:r>
          </w:p>
        </w:tc>
        <w:tc>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{{key.building_charge}}</w:t>
            </w:r>
          </w:p>
        </w:tc>
      </w:tr>
      <w:tr>
        <w:trPr>
          <w:cantSplit w:val="0"/>
          <w:trHeight w:val="288" w:hRule="atLeast"/>
          <w:tblHeader w:val="0"/>
        </w:trPr>
        <w:tc>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Mailbox Key</w:t>
            </w:r>
          </w:p>
        </w:tc>
        <w:tc>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{{key.mailbox_qty}}</w:t>
            </w:r>
          </w:p>
        </w:tc>
        <w:tc>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0" w:right="0" w:firstLine="0"/>
              <w:jc w:val="center"/>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{{key.mailbox_charge}}</w:t>
            </w:r>
          </w:p>
        </w:tc>
      </w:tr>
      <w:tr>
        <w:trPr>
          <w:cantSplit w:val="0"/>
          <w:trHeight w:val="288" w:hRule="atLeast"/>
          <w:tblHeader w:val="0"/>
        </w:trPr>
        <w:tc>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Keyless Entry Remote/FOB</w:t>
            </w:r>
          </w:p>
        </w:tc>
        <w:tc>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{{key.fob_qty}}</w:t>
            </w:r>
          </w:p>
        </w:tc>
        <w:tc>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{{key.fob_charge}}</w:t>
            </w:r>
          </w:p>
        </w:tc>
      </w:tr>
      <w:tr>
        <w:trPr>
          <w:cantSplit w:val="0"/>
          <w:trHeight w:val="288" w:hRule="atLeast"/>
          <w:tblHeader w:val="0"/>
        </w:trPr>
        <w:tc>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Garage Door Remote</w:t>
            </w:r>
          </w:p>
        </w:tc>
        <w:tc>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{{key.garage_qty}}</w:t>
            </w:r>
          </w:p>
        </w:tc>
        <w:tc>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{{key.garage_charge}}</w:t>
            </w:r>
          </w:p>
        </w:tc>
      </w:tr>
      <w:tr>
        <w:trPr>
          <w:cantSplit w:val="0"/>
          <w:trHeight w:val="288" w:hRule="atLeast"/>
          <w:tblHeader w:val="0"/>
        </w:trPr>
        <w:tc>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 w:line="240" w:lineRule="auto"/>
              <w:ind w:left="57"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Other: </w:t>
            </w:r>
            <w:r>
              <w:rPr>
                <w:rFonts w:ascii="Times New Roman" w:cs="Times New Roman" w:eastAsia="Times New Roman" w:hAnsi="Times New Roman"/>
                <w:b w:val="0"/>
                <w:bCs w:val="0"/>
                <w:i w:val="0"/>
                <w:iCs w:val="0"/>
                <w:smallCaps w:val="0"/>
                <w:strike w:val="0"/>
                <w:color w:val="000000"/>
                <w:sz w:val="21"/>
                <w:szCs w:val="21"/>
                <w:u w:val="single"/>
                <w:shd w:fill="auto" w:val="clear"/>
                <w:vertAlign w:val="baseline"/>
                <w:rtl w:val="0"/>
              </w:rPr>
              <w:t xml:space="preserve">{{key.other_label}}</w:t>
            </w:r>
          </w:p>
        </w:tc>
        <w:tc>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{{key.other_qty}}</w:t>
            </w:r>
          </w:p>
        </w:tc>
        <w:tc>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u w:val="single"/>
              </w:rPr>
              <w:t xml:space="preserve">{{key.other_charge}}</w:t>
            </w:r>
          </w:p>
        </w:tc>
      </w:tr>
    </w:tbl>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LOCKS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not change or install any lock, locking device, bolt, burglar device, alarm, or latch without Landlord’s prior written consent. Notwithstanding the foregoing, Tenant will provide Landlord with a key or keys capable of unlocking all such rekeyed or new locks as well as instructions on how to disarm any altered or new burglar alarm system. Tenant acknowledges that Landlord has a key to the Unit and may use the key for entry as provided in the Lease or as permitted by law. Any expense incurred by Landlord as a result of Tenant’s actions, such as changing of locks, shall be reimbursed by Tenant upon demand or deducted from Tenant’s security deposit at Landlord’s option. Failure to pay reimbursement as demanded is a material violation of this Lease.</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REPORTING</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Tenant shall immediately report to Landlord any malfunction or damage to any gates, locks, fencing or similar equipment.</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3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1"/>
          <w:szCs w:val="21"/>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40">
      <w:pPr>
        <w:spacing w:before="0" w:lineRule="auto"/>
        <w:ind w:left="0" w:right="183" w:firstLine="0"/>
        <w:jc w:val="center"/>
        <w:rPr>
          <w:sz w:val="21"/>
          <w:szCs w:val="21"/>
        </w:rPr>
      </w:pPr>
      <w:r w:rsidDel="00000000" w:rsidR="00000000" w:rsidRPr="00000000">
        <w:rPr>
          <w:sz w:val="21"/>
          <w:szCs w:val="21"/>
          <w:rtl w:val="0"/>
        </w:rPr>
        <w:t xml:space="preserve">This Rider is entered into between Landlord and Tenant as of the Effective Date set forth in the Lease.</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65">
      <w:pPr>
        <w:spacing w:before="0" w:after="0" w:line="20" w:lineRule="exact"/>
        <w:ind w:left="0" w:right="0" w:firstLine="0"/>
        <w:jc w:val="left"/>
        <w:rPr>
          <w:sz w:val="16"/>
          <w:szCs w:val="16"/>
        </w:rPr>
        <w:sectPr>
          <w:footerReference r:id="rId28" w:type="default"/>
          <w:type w:val="nextPage"/>
          <w:pgSz w:h="15840" w:w="12240" w:orient="portrait"/>
          <w:pgMar w:bottom="477" w:top="823" w:left="420" w:right="420" w:header="0" w:footer="177"/>
          <w:pgNumType w:start="1"/>
        </w:sectPr>
      </w:pPr>
    </w:p>
    <w:p w:rsidR="00000000" w:rsidDel="00000000" w:rsidP="00000000" w:rsidRDefault="00000000" w:rsidRPr="00000000" w14:paraId="00000266">
      <w:pPr>
        <w:pStyle w:val="Heading3"/>
        <w:spacing w:before="68" w:lineRule="auto"/>
        <w:ind w:left="3155" w:right="3155" w:firstLine="0"/>
        <w:jc w:val="center"/>
        <w:rPr/>
      </w:pPr>
      <w:r w:rsidDel="00000000" w:rsidR="00000000" w:rsidRPr="00000000">
        <w:rPr>
          <w:rtl w:val="0"/>
        </w:rPr>
        <w:t xml:space="preserve">New York Renters Insurance Rider</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 and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TENANT’S RESPONSIBILITY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must obtain and maintain liability coverage renters insurance from a qualified insurer of Tenant’s choice with: (i) a minimum liability coverage of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{{insurance.min_liability}}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 occurrence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list Landlord as an “Interested Party”, “Party of Interest”, or “Additional Interest”; (iii) provide that Landlord receives written notice of no less than 30 days prior to the expiration or termination of the liability coverage renters insurance; and (iv) extend coverage for negligent water damage caused by Tenant in and around the Unit. Tenant is required to furnish Landlord with evidence of Tenant’s renters insurance declaration page prior to Tenant’s occupancy of the Unit, at the time of any renewal, and within five business days of any request by Landlord to view Tenant’s current declaration page. Neither a binder nor a certificate of insurance constitutes “evidence” within the meaning of this paragraph. Tenant will maintain the policy throughout the length of the tenancy and any renewal period.</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6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SCOPE OF COVERAGE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“liability coverage” renters insurance does not protect a tenant against loss or damage to personal property, and that only “personal property” coverage renters insurance will provide such coverage. Landlord recommends that Tenant purchase personal property coverage renters insurance in addition to liability coverage renters insurance.</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Notice to Tenant: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Flood insurance is available to renters through the Federal Emergency Management Agency’s (FEMA’s) National Flood Insurance Program (NFIP) to cover your personal property and contents in the event of a flood. A standard renter’s insurance policy does not typically cover flood damage. You are encouraged to examine your policy to determine whether you are covered.</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DEFAULT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at any time during the tenancy Tenant does not have renters insurance as required in paragraph 1, above, Tenant is in material breach of the Lease and Landlord may pursue all remedies permitted pursuant to the Lease, or by law, including, but not limited to, eviction. Moreover, Landlord shall have the right, but not the obligation, to purchase replacement coverage, otherwise known as Landlord Placed Tenant Liability Insurance policy (“LPTLI”) at Tenant’s expense. Tenant will need to reimburse Landlord as follows:</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2">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Renters Insurance Waiver: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{{fee.renters_insurance_waiver_monthly}}</w:t>
      </w:r>
    </w:p>
    <w:p w:rsidR="00000000" w:rsidDel="00000000" w:rsidP="00000000" w:rsidRDefault="00000000" w:rsidRPr="00000000" w14:paraId="0000027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69" w:lineRule="auto"/>
        <w:ind w:left="1668" w:right="0" w:hanging="360"/>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Monthly Administrative Fee for Landlord Placed Liability Insurance: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{{fee.lptli_admin_monthly}}</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LPTLI reimbursement of Landlord’s expenses will be due and payable with Rent. Tenant acknowledges the following:</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7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is the named insured under the LPTLI. Tenant is an additional insured under the tenant liability component of the LPTLI policy for liability arising from on-premises bodily injury and property damage up to the limits of liability coverage.</w:t>
      </w:r>
    </w:p>
    <w:p w:rsidR="00000000" w:rsidDel="00000000" w:rsidP="00000000" w:rsidRDefault="00000000" w:rsidRPr="00000000" w14:paraId="0000027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LPTLI coverage is not personal liability insurance or renters insurance. Landlord makes no warranty or representation that LPTLI covers the Tenant’s personal property or additional living expenses. Although coverage may be similar to a personal liability insurance policy or the liability portion of a renters insurance policy, the LPTLI may not protect Tenant to the same extent as if Tenant had purchased personal liability or renters insurance. Certain restrictions apply.</w:t>
      </w:r>
    </w:p>
    <w:p w:rsidR="00000000" w:rsidDel="00000000" w:rsidP="00000000" w:rsidRDefault="00000000" w:rsidRPr="00000000" w14:paraId="0000027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only applies to liability arising in the Unit. Tenant is not insured away from the Unit.</w:t>
      </w:r>
    </w:p>
    <w:p w:rsidR="00000000" w:rsidDel="00000000" w:rsidP="00000000" w:rsidRDefault="00000000" w:rsidRPr="00000000" w14:paraId="0000027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Coverage under the LPTLI policy may be more expensive than the cost of renters insurance available to Tenant. At any time, Tenant may contact an agent of their choice for personal liability or renters insurance options to satisfy the renters insurance requirement under this Rider.</w:t>
      </w:r>
    </w:p>
    <w:p w:rsidR="00000000" w:rsidDel="00000000" w:rsidP="00000000" w:rsidRDefault="00000000" w:rsidRPr="00000000" w14:paraId="0000027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Licensed insurance agents may receive a commission on the LTPLI policy.</w:t>
      </w:r>
    </w:p>
    <w:p w:rsidR="00000000" w:rsidDel="00000000" w:rsidP="00000000" w:rsidRDefault="00000000" w:rsidRPr="00000000" w14:paraId="0000027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Subject to the terms of the policy, LPTLI may extend legal defense to Tenant in the event of actual or</w:t>
      </w:r>
    </w:p>
    <w:p w:rsidR="00000000" w:rsidDel="00000000" w:rsidP="00000000" w:rsidRDefault="00000000" w:rsidRPr="00000000" w14:paraId="0000027D">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pgNumType w:start="1"/>
        </w:sectPr>
      </w:pP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6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alleged liability for bodily injury or property damage not otherwise excluded by the LPTLI policy. LPTLI is designed to fulfill the insurance requirement of the Lease.</w:t>
      </w:r>
    </w:p>
    <w:p w:rsidR="00000000" w:rsidDel="00000000" w:rsidP="00000000" w:rsidRDefault="00000000" w:rsidRPr="00000000" w14:paraId="0000027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Scheduling under the LPTLI policy is not mandatory and Tenant may purchase the required renters insurance from an insurance agent or insurance company of Tenant’s choice at any time and if done, Landlord will terminate Tenant’s coverage under the LPTLI policy and the requirement to pay for the LPTLI coverage immediately upon Tenant’s proof of insurance to Landlord.</w:t>
      </w:r>
    </w:p>
    <w:p w:rsidR="00000000" w:rsidDel="00000000" w:rsidP="00000000" w:rsidRDefault="00000000" w:rsidRPr="00000000" w14:paraId="0000028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cost of LPTLI coverage and administrative fees are subject to change upon Lease renewal or if the Lease converts to a month-to-month tenancy.</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2C3">
      <w:pPr>
        <w:spacing w:before="0" w:after="0" w:line="20" w:lineRule="exact"/>
        <w:ind w:left="0" w:right="0" w:firstLine="0"/>
        <w:jc w:val="right"/>
        <w:rPr>
          <w:sz w:val="16"/>
          <w:szCs w:val="16"/>
        </w:rPr>
        <w:sectPr>
          <w:footerReference r:id="rId29" w:type="default"/>
          <w:type w:val="nextPage"/>
          <w:pgSz w:h="15840" w:w="12240" w:orient="portrait"/>
          <w:pgMar w:bottom="477" w:top="823" w:left="420" w:right="420" w:header="0" w:footer="177"/>
        </w:sectPr>
      </w:pPr>
    </w:p>
    <w:p w:rsidR="00000000" w:rsidDel="00000000" w:rsidP="00000000" w:rsidRDefault="00000000" w:rsidRPr="00000000" w14:paraId="000002C4">
      <w:pPr>
        <w:pStyle w:val="Heading3"/>
        <w:spacing w:before="68" w:lineRule="auto"/>
        <w:ind w:left="3155" w:right="3155" w:firstLine="0"/>
        <w:jc w:val="center"/>
        <w:rPr/>
      </w:pPr>
      <w:r w:rsidDel="00000000" w:rsidR="00000000" w:rsidRPr="00000000">
        <w:rPr>
          <w:rtl w:val="0"/>
        </w:rPr>
        <w:t xml:space="preserve">Community Rules Rider</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6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the Lease. Landlord and Tenant agree as follows:</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WELCOME!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would like to take this opportunity to welcome you to your new home. We want your stay to be enjoyable and comfortable; but your support and cooperation are necessary. To promote and maintain this Community, and as a condition of your tenancy, we have established the following rules, which are subject to change or addition. The Community Rules remind everyone to be courteous to others, and to respect their property. The most important rule is to use common sense to protect people and property from harm and to respect the rights of everyone (including other tenants, employees, independent contractors, etc.).</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Except as set forth in the Lease, Landlord grants Tenant a non-exclusive license for the use of the common areas, amenities and other facilities located at the Community (collectively, the “Facilities”). Such license shall be effective for the term of the Lease and any renewal. All use of the Facilities shall be at Tenant’s sole risk. Landlord shall have the right to monitor and from time to time change the area, location and arrangement of the Facilities; make changes to the Community Rules; set hours of use, rates and charges (if not in violation of applicable law) for all Facilities; and temporarily or permanently close any Facilities, all without prior notice to Tenant.</w:t>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5"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following rules and regulations currently apply to the Unit and Community and are subject to change upon notification to the Tenant.</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CE">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General</w:t>
      </w:r>
    </w:p>
    <w:p w:rsidR="00000000" w:rsidDel="00000000" w:rsidP="00000000" w:rsidRDefault="00000000" w:rsidRPr="00000000" w14:paraId="000002C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These rules are necessary to ensure the proper use and care of the Unit and the Community, as well as for the safety of both Landlord and Tenant as well as other tenants, management staff and vendors.</w:t>
      </w:r>
    </w:p>
    <w:p w:rsidR="00000000" w:rsidDel="00000000" w:rsidP="00000000" w:rsidRDefault="00000000" w:rsidRPr="00000000" w14:paraId="000002D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and all household occupants are responsible for the actions and conduct of their guests and invitees at all times while their guests and invitees are in or about the Community and must ensure that they follow all Community Rules.</w:t>
      </w:r>
    </w:p>
    <w:p w:rsidR="00000000" w:rsidDel="00000000" w:rsidP="00000000" w:rsidRDefault="00000000" w:rsidRPr="00000000" w14:paraId="000002D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Landlord may bar entry, exclude or otherwise request any guest, person or invitee to leave the Community if, at Landlord’s sole discretion, the guest, person or invitee violates any Community Rules, causes a disturbance, or interferes with other tenants’ or employees’ quiet use and enjoyment of the Community.</w:t>
      </w:r>
    </w:p>
    <w:p w:rsidR="00000000" w:rsidDel="00000000" w:rsidP="00000000" w:rsidRDefault="00000000" w:rsidRPr="00000000" w14:paraId="000002D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60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During normal office hours only, Landlord may assist Occupants who have been locked out of their Unit and need assistance to regain entry. At all other times, access will be the sole responsibility of Tenant.</w:t>
      </w:r>
    </w:p>
    <w:p w:rsidR="00000000" w:rsidDel="00000000" w:rsidP="00000000" w:rsidRDefault="00000000" w:rsidRPr="00000000" w14:paraId="000002D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Landlord does not provide law enforcement or private protection services for Occupants, guests, invitees or their property.</w:t>
      </w:r>
    </w:p>
    <w:p w:rsidR="00000000" w:rsidDel="00000000" w:rsidP="00000000" w:rsidRDefault="00000000" w:rsidRPr="00000000" w14:paraId="000002D4">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guests and invitees shall not engage in any activity that violates any federal, state or local laws, including, but not limited to, any drug laws, and shall not engage in any behavior that could be considered as the commission of “waste”, that interferes with the operation of the Community’s business, and shall not allow or cause a nuisance, behave in a loud or obnoxious manner or engage in or permit guests or invitees to interfere with or threaten the rights, safety or health of other individuals within the Community.</w:t>
      </w:r>
    </w:p>
    <w:p w:rsidR="00000000" w:rsidDel="00000000" w:rsidP="00000000" w:rsidRDefault="00000000" w:rsidRPr="00000000" w14:paraId="000002D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disturbance or emergency, Occupants should call 911 or otherwise request assistance from the appropriate local authority (police department, fire department, paramedics, etc.). Landlord requests that Tenant notify Landlord </w:t>
      </w:r>
      <w:r w:rsidDel="00000000" w:rsidR="00000000" w:rsidRPr="00000000">
        <w:rPr>
          <w:rFonts w:ascii="Times New Roman" w:cs="Times New Roman" w:eastAsia="Times New Roman" w:hAnsi="Times New Roman"/>
          <w:b w:val="1"/>
          <w:bCs w:val="1"/>
          <w:i w:val="1"/>
          <w:iCs w:val="1"/>
          <w:smallCaps w:val="0"/>
          <w:strike w:val="0"/>
          <w:color w:val="000000"/>
          <w:sz w:val="22"/>
          <w:szCs w:val="22"/>
          <w:u w:val="none"/>
          <w:shd w:fill="auto" w:val="clear"/>
          <w:vertAlign w:val="baseline"/>
          <w:rtl w:val="0"/>
        </w:rPr>
        <w:t xml:space="preserve">after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has called the proper local authority.</w:t>
      </w:r>
    </w:p>
    <w:p w:rsidR="00000000" w:rsidDel="00000000" w:rsidP="00000000" w:rsidRDefault="00000000" w:rsidRPr="00000000" w14:paraId="000002D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 all locks on exterior doors and windows in a reasonable manner.</w:t>
      </w:r>
    </w:p>
    <w:p w:rsidR="00000000" w:rsidDel="00000000" w:rsidP="00000000" w:rsidRDefault="00000000" w:rsidRPr="00000000" w14:paraId="000002D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shall not give any keys or copies of keys to the Unit, any Building, or the Community or its Facilities to any person other than those listed on the Lease, without the prior written consent of Landlord.</w:t>
      </w:r>
    </w:p>
    <w:p w:rsidR="00000000" w:rsidDel="00000000" w:rsidP="00000000" w:rsidRDefault="00000000" w:rsidRPr="00000000" w14:paraId="000002D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failure to act by Landlord with regard to any specific violation or breach of these Community Rules by Occupants does not operate as a waiver and will not prevent Landlord’s right to act on any future violation or breach by Occupants.</w:t>
      </w:r>
    </w:p>
    <w:p w:rsidR="00000000" w:rsidDel="00000000" w:rsidP="00000000" w:rsidRDefault="00000000" w:rsidRPr="00000000" w14:paraId="000002D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pgNumType w:start="1"/>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reimburse Landlord for any damage to the Unit or Community or losses suffered by Landlord arising from or related to Occupants’ or their guests or invitees’ failure to follow these Community Rules.</w:t>
      </w:r>
    </w:p>
    <w:p w:rsidR="00000000" w:rsidDel="00000000" w:rsidP="00000000" w:rsidRDefault="00000000" w:rsidRPr="00000000" w14:paraId="000002DA">
      <w:pPr>
        <w:spacing w:before="61" w:lineRule="auto"/>
        <w:ind w:left="588" w:right="0" w:firstLine="0"/>
        <w:jc w:val="both"/>
        <w:rPr>
          <w:b w:val="1"/>
          <w:bCs w:val="1"/>
          <w:sz w:val="22"/>
          <w:szCs w:val="22"/>
        </w:rPr>
      </w:pPr>
      <w:r w:rsidDel="00000000" w:rsidR="00000000" w:rsidRPr="00000000">
        <w:rPr>
          <w:b w:val="1"/>
          <w:bCs w:val="1"/>
          <w:sz w:val="22"/>
          <w:szCs w:val="22"/>
          <w:u w:val="single"/>
          <w:rtl w:val="0"/>
        </w:rPr>
        <w:t xml:space="preserve">Use of Unit and Common Areas</w:t>
      </w:r>
    </w:p>
    <w:p w:rsidR="00000000" w:rsidDel="00000000" w:rsidP="00000000" w:rsidRDefault="00000000" w:rsidRPr="00000000" w14:paraId="000002D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addition to these Community Rules, Landlord may from time to time post specific regulations regarding the use of recreational and other common Facilities, including but not limited to, the pool, business office and laundry Facilities (if applicable). Occupants, their guests and invitees must obey all posted regulations, including posted hours of operation.</w:t>
      </w:r>
    </w:p>
    <w:p w:rsidR="00000000" w:rsidDel="00000000" w:rsidP="00000000" w:rsidRDefault="00000000" w:rsidRPr="00000000" w14:paraId="000002D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Tenant’s Unit or the Community shall not be used for any illegal activity whatsoever or for any activity that in the reasonable opinion of Landlord may damage or injure the Unit, Community, or other persons or property.</w:t>
      </w:r>
    </w:p>
    <w:p w:rsidR="00000000" w:rsidDel="00000000" w:rsidP="00000000" w:rsidRDefault="00000000" w:rsidRPr="00000000" w14:paraId="000002D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the Tenant’s responsibility to keep balconies and patios in a clean and orderly condition. Storing of cartons, garbage, boxes, appliances, or other visually objectionable items on the patio or balcony is prohibited. Clotheslines or clothes hanging over balconies are not permitted. Hanging clothes and towels out to dry or use of the patio or balcony as a general storage area is not permitted. Seasonal and holiday decorations are not allowed without prior written permission from Landlord. If allowed, seasonal and holiday decorations must be reasonable, must not interfere with or disturb other tenants’ quiet enjoyment of the Community, and must be promptly removed within a reasonable time after the holiday, not to exceed 14 days or as otherwise directed by Landlord. Grilling or barbecuing is not permitted on balconies or patios.</w:t>
      </w:r>
    </w:p>
    <w:p w:rsidR="00000000" w:rsidDel="00000000" w:rsidP="00000000" w:rsidRDefault="00000000" w:rsidRPr="00000000" w14:paraId="000002D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provided by Landlord, the use and storage of all charcoal burners and other open-flame devices fueled by combustible or flammable gases, liquids, and solids, including, barbeque grills, clay chimneys and fire pits, are prohibited.</w:t>
      </w:r>
    </w:p>
    <w:p w:rsidR="00000000" w:rsidDel="00000000" w:rsidP="00000000" w:rsidRDefault="00000000" w:rsidRPr="00000000" w14:paraId="000002D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flammable gases such as propane, or flammable liquids such as lighter fluid, oil, kerosene or gasoline are allowed in the Unit, and Tenant will be responsible for any damages and losses arising from such items.</w:t>
      </w:r>
    </w:p>
    <w:p w:rsidR="00000000" w:rsidDel="00000000" w:rsidP="00000000" w:rsidRDefault="00000000" w:rsidRPr="00000000" w14:paraId="000002E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doors are not to be propped open under any circumstances.</w:t>
      </w:r>
    </w:p>
    <w:p w:rsidR="00000000" w:rsidDel="00000000" w:rsidP="00000000" w:rsidRDefault="00000000" w:rsidRPr="00000000" w14:paraId="000002E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hanging of plants or other items from stucco ceilings, walls or other fixtures is prohibited.</w:t>
      </w:r>
    </w:p>
    <w:p w:rsidR="00000000" w:rsidDel="00000000" w:rsidP="00000000" w:rsidRDefault="00000000" w:rsidRPr="00000000" w14:paraId="000002E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Items, including, but not limited to, brooms, mops, bicycles, and tools must be kept inside the Unit at all times.</w:t>
      </w:r>
    </w:p>
    <w:p w:rsidR="00000000" w:rsidDel="00000000" w:rsidP="00000000" w:rsidRDefault="00000000" w:rsidRPr="00000000" w14:paraId="000002E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may hang pictures, mirrors, and other items on the inside walls of the Unit, provided Tenant uses only a reasonable number of small nails. Large nails, screws, tape hangers, bolts, etc. are not permitted. No tape, contact paper, or glue may be affixed to doors, walls, or appliances.</w:t>
      </w:r>
    </w:p>
    <w:p w:rsidR="00000000" w:rsidDel="00000000" w:rsidP="00000000" w:rsidRDefault="00000000" w:rsidRPr="00000000" w14:paraId="000002E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cause or allow loud or boisterous activity and/or disturbing noises within the Unit (including balconies or patios) or in the common areas of the Community. Radios, televisions, stereos, musical instruments, or any other noise producing devices shall not be played in a manner that disturbs other tenants, neighbors or employees at any time. Between the hours of 10 p.m. and 8 a.m., the volume of all such devices shall be maintained at a level such that it cannot be heard in adjacent units or common areas of the Community, including any hallway outside of a Unit. No noxious odors, vibrations or odors that otherwise interfere with other tenants’ quiet use and enjoyment of the premises shall be permitted.</w:t>
      </w:r>
    </w:p>
    <w:p w:rsidR="00000000" w:rsidDel="00000000" w:rsidP="00000000" w:rsidRDefault="00000000" w:rsidRPr="00000000" w14:paraId="000002E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Profanity, cursing, and the use of racial, ethnic, sexual orientation, or immigration status-based slurs in common areas, on patios and balconies, in the Community, or within the Unit – if such language may be overheard by others outside of the Unit – is prohibited.</w:t>
      </w:r>
    </w:p>
    <w:p w:rsidR="00000000" w:rsidDel="00000000" w:rsidP="00000000" w:rsidRDefault="00000000" w:rsidRPr="00000000" w14:paraId="000002E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Aerials or antennas for radios, televisions, or CBs shall not be placed or erected on balconies, patios, or the exterior of the Building.</w:t>
      </w:r>
    </w:p>
    <w:p w:rsidR="00000000" w:rsidDel="00000000" w:rsidP="00000000" w:rsidRDefault="00000000" w:rsidRPr="00000000" w14:paraId="000002E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Lounging and unnecessary loitering in common areas, including the hallways, on public steps, or on public balconies in such a way as to interfere with the convenience of, or quiet enjoyment of the Community by, other tenants, is prohibited.</w:t>
      </w:r>
    </w:p>
    <w:p w:rsidR="00000000" w:rsidDel="00000000" w:rsidP="00000000" w:rsidRDefault="00000000" w:rsidRPr="00000000" w14:paraId="000002E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skateboarding, inline skating, rollerblading, bicycling, or the use of other wheeled recreational devices are permitted in any common areas, including, but not limited to, corridors, sidewalks, laundry rooms, parking areas, garages, or in the pool area.</w:t>
      </w:r>
    </w:p>
    <w:p w:rsidR="00000000" w:rsidDel="00000000" w:rsidP="00000000" w:rsidRDefault="00000000" w:rsidRPr="00000000" w14:paraId="000002E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items may be left in any common areas. If any items are left in any common areas, they shall be deemed to have been abandoned and subject to disposal as permitted by law.</w:t>
      </w:r>
    </w:p>
    <w:p w:rsidR="00000000" w:rsidDel="00000000" w:rsidP="00000000" w:rsidRDefault="00000000" w:rsidRPr="00000000" w14:paraId="000002E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73"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108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Trash, garbage, or other waste shall not be kept on or in any common areas, including, but not limited to, parking areas, lobbies, hallways, stairwells, or sidewalks. No trash, garbage, or other waste shall be incinerated in any part of the Unit or the Community. Tenant is responsible for removing all trash, garbage, and other waste from the Unit in a clean and safe manner. All trash, garbage, and other waste</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shall be placed in a sealed garbage bag and deposited with care in the designated receptacle bins or dumpster.</w:t>
      </w:r>
    </w:p>
    <w:p w:rsidR="00000000" w:rsidDel="00000000" w:rsidP="00000000" w:rsidRDefault="00000000" w:rsidRPr="00000000" w14:paraId="000002E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4"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Occupants wish to dispose of any large items, it is the responsibility of Tenant to make special arrangements in accordance with applicable laws or ordinances, to dispose of such items. Any charges incurred by Landlord as a result of Occupants’ failure to comply with this rule will be the responsibility of Tenant.</w:t>
      </w:r>
    </w:p>
    <w:p w:rsidR="00000000" w:rsidDel="00000000" w:rsidP="00000000" w:rsidRDefault="00000000" w:rsidRPr="00000000" w14:paraId="000002E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dispose of certain items, including, but not limited to, grease, bones, stringy vegetable, cloth, metal, glass, wool, plastic, condoms, or feminine hygiene products, down the garbage disposal, sinks, or toilets. Tenant should run plenty of water when using the garbage disposal. Tenant will be responsible for any damage caused by the misuse of the garbage disposal, sinks, or toilets.</w:t>
      </w:r>
    </w:p>
    <w:p w:rsidR="00000000" w:rsidDel="00000000" w:rsidP="00000000" w:rsidRDefault="00000000" w:rsidRPr="00000000" w14:paraId="000002E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not allow any animal in the Community, even temporarily, unless otherwise agreed to by a separate written Animal Addendum.</w:t>
      </w:r>
    </w:p>
    <w:p w:rsidR="00000000" w:rsidDel="00000000" w:rsidP="00000000" w:rsidRDefault="00000000" w:rsidRPr="00000000" w14:paraId="000002E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use or discharge of any type of weapon, air gun, or explosive, including, but not limited to, legally possessed firearms, BB or pellet guns, fireworks, or other similar items in or near the Community, is prohibited with the exception that a firearm may solely be discharged in self-defense. Except as may be permitted by applicable law, the display of any firearm or weapon is prohibited if displayed or used in a manner that may reasonably cause another individual to feel threatened or uneasy.</w:t>
      </w:r>
    </w:p>
    <w:p w:rsidR="00000000" w:rsidDel="00000000" w:rsidP="00000000" w:rsidRDefault="00000000" w:rsidRPr="00000000" w14:paraId="000002F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Under the Federal Communications Commission order, a tenant has a limited right to install a satellite dish or receiving antenna in the Unit or on the Building. Landlord may impose reasonable restrictions relating to such installation. Tenant is required to comply with these restrictions as a condition of installing such equipment.</w:t>
      </w:r>
    </w:p>
    <w:p w:rsidR="00000000" w:rsidDel="00000000" w:rsidP="00000000" w:rsidRDefault="00000000" w:rsidRPr="00000000" w14:paraId="000002F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Unless installed by Landlord, personal window-mounted air-conditioner units and portable heating/cooling units are prohibited.</w:t>
      </w:r>
    </w:p>
    <w:p w:rsidR="00000000" w:rsidDel="00000000" w:rsidP="00000000" w:rsidRDefault="00000000" w:rsidRPr="00000000" w14:paraId="000002F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advertisements, notices, or other lettering shall be exhibited, displayed, inscribed, painted or affixed, in, on, or upon any part of the Building (including in any window) without Landlord’s prior written consent.</w:t>
      </w:r>
    </w:p>
    <w:p w:rsidR="00000000" w:rsidDel="00000000" w:rsidP="00000000" w:rsidRDefault="00000000" w:rsidRPr="00000000" w14:paraId="000002F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agrees not to overload the plumbing or electrical systems.</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2F5">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Maintenance</w:t>
      </w:r>
    </w:p>
    <w:p w:rsidR="00000000" w:rsidDel="00000000" w:rsidP="00000000" w:rsidRDefault="00000000" w:rsidRPr="00000000" w14:paraId="000002F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immediately report to Landlord any defects, breakage, or maintenance problems in the Unit or Community, including, but not limited to, leaky faucets, toilets, broken windows, wet areas on walls or floors, or water intrusion of any kind, or any other condition that could pose a threat of injury to person or property. Failure to report such problems immediately could make Tenant liable for additional damages.</w:t>
      </w:r>
    </w:p>
    <w:p w:rsidR="00000000" w:rsidDel="00000000" w:rsidP="00000000" w:rsidRDefault="00000000" w:rsidRPr="00000000" w14:paraId="000002F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a problem occurs when the office is closed, Tenant shall call Landlord’s phone number and speak to the answering service and explain the problem. Tenant may not knock at the door or otherwise bother management staff when they are off duty or in their private residence.</w:t>
      </w:r>
    </w:p>
    <w:p w:rsidR="00000000" w:rsidDel="00000000" w:rsidP="00000000" w:rsidRDefault="00000000" w:rsidRPr="00000000" w14:paraId="000002F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case of a maintenance emergency:</w:t>
      </w:r>
    </w:p>
    <w:p w:rsidR="00000000" w:rsidDel="00000000" w:rsidP="00000000" w:rsidRDefault="00000000" w:rsidRPr="00000000" w14:paraId="000002F9">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Plumbing: In case of stoppage or overflow, turn off the “Shut Off” valve nearest the problem fixture. Do not use the fixture. Notify Landlord. A clogged toilet is only considered an emergency if there is no other working toilet in the Unit.</w:t>
      </w:r>
    </w:p>
    <w:p w:rsidR="00000000" w:rsidDel="00000000" w:rsidP="00000000" w:rsidRDefault="00000000" w:rsidRPr="00000000" w14:paraId="000002FA">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tabs>
          <w:tab w:val="left" w:leader="none" w:pos="1668"/>
        </w:tabs>
        <w:spacing w:after="0" w:before="0" w:line="240" w:lineRule="auto"/>
        <w:ind w:left="1668" w:right="586" w:hanging="18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Electrical: Check breakers, flip all the way to “off” and then to “on”. If that does not resolve the problem, notify Landlord. DO NOT ATTEMPT TO PERFORM ANY ELECTRICAL REPAIRS YOURSELF.</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2FC">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Laundry (if provided by Landlord)</w:t>
      </w:r>
    </w:p>
    <w:p w:rsidR="00000000" w:rsidDel="00000000" w:rsidP="00000000" w:rsidRDefault="00000000" w:rsidRPr="00000000" w14:paraId="000002F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 not overload washers or dryers. Please keep dryer vents clean to prevent fires. Should Occupants misuse the washers or dryers, Tenant may be held responsible for the cost to repair or replace any damage.</w:t>
      </w:r>
    </w:p>
    <w:p w:rsidR="00000000" w:rsidDel="00000000" w:rsidP="00000000" w:rsidRDefault="00000000" w:rsidRPr="00000000" w14:paraId="000002FE">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Please be considerate and remove your laundry from the washers and dryers promptly. Landlord is not responsible for any loss or damage to personal property.</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0">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Recreation Facilities (if available)</w:t>
      </w:r>
    </w:p>
    <w:p w:rsidR="00000000" w:rsidDel="00000000" w:rsidP="00000000" w:rsidRDefault="00000000" w:rsidRPr="00000000" w14:paraId="00000301">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Recreational Facilities may include, but are not limited to, fitness rooms including weight and cardio rooms, locker rooms, saunas, spas, basketball courts, tennis courts, playgrounds, theater rooms, and business centers (the “Recreation Facilities”).</w:t>
      </w:r>
    </w:p>
    <w:p w:rsidR="00000000" w:rsidDel="00000000" w:rsidP="00000000" w:rsidRDefault="00000000" w:rsidRPr="00000000" w14:paraId="00000302">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posted signs listing the specific rules of the Recreation Facilities must be observed at all times. All Recreation Facilities shall be used only during posted hours of operation.</w:t>
      </w:r>
    </w:p>
    <w:p w:rsidR="00000000" w:rsidDel="00000000" w:rsidP="00000000" w:rsidRDefault="00000000" w:rsidRPr="00000000" w14:paraId="00000303">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all guests and invitees when they are using the Recreation Facilities.</w:t>
      </w:r>
    </w:p>
    <w:p w:rsidR="00000000" w:rsidDel="00000000" w:rsidP="00000000" w:rsidRDefault="00000000" w:rsidRPr="00000000" w14:paraId="00000304">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Recreation Facilities do so at their own risk. Landlord is not responsible for any personal property left unattended in the Recreation Facilities.</w:t>
      </w:r>
    </w:p>
    <w:p w:rsidR="00000000" w:rsidDel="00000000" w:rsidP="00000000" w:rsidRDefault="00000000" w:rsidRPr="00000000" w14:paraId="00000305">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Pets are not permitted in or around the Recreation Facilities.</w:t>
      </w:r>
    </w:p>
    <w:p w:rsidR="00000000" w:rsidDel="00000000" w:rsidP="00000000" w:rsidRDefault="00000000" w:rsidRPr="00000000" w14:paraId="00000306">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Recreational Facilities are strictly an amenity, and that the use of this amenity is not guaranteed under the terms of the Lease. To the extent permitted by law, any interruption to or availability of the use of the Recreational Facilities for maintenance, repair, health emergencies or other lawful reasons will not violate any terms of the Lease. No Landlord provided Recreational Facilities, and no common areas, may be used by any Tenant for any commercial or business purpose including teaching classes or training without Landlord’s prior written consent.</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08">
      <w:pPr>
        <w:spacing w:before="0" w:lineRule="auto"/>
        <w:ind w:left="588" w:right="0" w:firstLine="0"/>
        <w:jc w:val="left"/>
        <w:rPr>
          <w:b w:val="1"/>
          <w:bCs w:val="1"/>
          <w:sz w:val="22"/>
          <w:szCs w:val="22"/>
        </w:rPr>
      </w:pPr>
      <w:r w:rsidDel="00000000" w:rsidR="00000000" w:rsidRPr="00000000">
        <w:rPr>
          <w:b w:val="1"/>
          <w:bCs w:val="1"/>
          <w:sz w:val="22"/>
          <w:szCs w:val="22"/>
          <w:u w:val="single"/>
          <w:rtl w:val="0"/>
        </w:rPr>
        <w:t xml:space="preserve">Swimming Pool Rules (if available)</w:t>
      </w:r>
    </w:p>
    <w:p w:rsidR="00000000" w:rsidDel="00000000" w:rsidP="00000000" w:rsidRDefault="00000000" w:rsidRPr="00000000" w14:paraId="00000309">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Occupants are reminded that no lifeguard is on duty at any time.</w:t>
      </w:r>
    </w:p>
    <w:p w:rsidR="00000000" w:rsidDel="00000000" w:rsidP="00000000" w:rsidRDefault="00000000" w:rsidRPr="00000000" w14:paraId="0000030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or pool area do so at their own risk.</w:t>
      </w:r>
    </w:p>
    <w:p w:rsidR="00000000" w:rsidDel="00000000" w:rsidP="00000000" w:rsidRDefault="00000000" w:rsidRPr="00000000" w14:paraId="0000030B">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persons using the pool must abide by all federal, state, county, city and similar pool regulations, as well as all rules posted at or near the pool area.</w:t>
      </w:r>
    </w:p>
    <w:p w:rsidR="00000000" w:rsidDel="00000000" w:rsidP="00000000" w:rsidRDefault="00000000" w:rsidRPr="00000000" w14:paraId="0000030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pool gate must remain closed and may not be propped open, or its automatic closing feature disabled, or tampered with at any time. NO EXCEPTIONS.</w:t>
      </w:r>
    </w:p>
    <w:p w:rsidR="00000000" w:rsidDel="00000000" w:rsidP="00000000" w:rsidRDefault="00000000" w:rsidRPr="00000000" w14:paraId="0000030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must accompany guests and invitees when they are visiting and using the pool.</w:t>
      </w:r>
    </w:p>
    <w:p w:rsidR="00000000" w:rsidDel="00000000" w:rsidP="00000000" w:rsidRDefault="00000000" w:rsidRPr="00000000" w14:paraId="0000030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Any person who is not toilet trained or who is incontinent may not use the pool unless rubber pants, swim diapers, or special swimsuits are worn. Changing of diapers in the pool or pool area is prohibited. Cleaning off soiled infants or other incontinent persons in the pool water is prohibited.</w:t>
      </w:r>
    </w:p>
    <w:p w:rsidR="00000000" w:rsidDel="00000000" w:rsidP="00000000" w:rsidRDefault="00000000" w:rsidRPr="00000000" w14:paraId="0000030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Persons using the pool must wear appropriate and clean swimwear attire.</w:t>
      </w:r>
    </w:p>
    <w:p w:rsidR="00000000" w:rsidDel="00000000" w:rsidP="00000000" w:rsidRDefault="00000000" w:rsidRPr="00000000" w14:paraId="0000031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diving is allowed. Loud or boisterous activities are not permitted in the pool or pool area. Surfboards, boogie boards, and inflatable rafts or tubes are prohibited.</w:t>
      </w:r>
    </w:p>
    <w:p w:rsidR="00000000" w:rsidDel="00000000" w:rsidP="00000000" w:rsidRDefault="00000000" w:rsidRPr="00000000" w14:paraId="00000311">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Throwing of debris or items into the pool is prohibited. Hair clips and bobby pins must be removed from hair before using the pool.</w:t>
      </w:r>
    </w:p>
    <w:p w:rsidR="00000000" w:rsidDel="00000000" w:rsidP="00000000" w:rsidRDefault="00000000" w:rsidRPr="00000000" w14:paraId="0000031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personal stereo equipment may be used in the pool or pool area, unless using headphones or ear buds.</w:t>
      </w:r>
    </w:p>
    <w:p w:rsidR="00000000" w:rsidDel="00000000" w:rsidP="00000000" w:rsidRDefault="00000000" w:rsidRPr="00000000" w14:paraId="0000031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Glass food and beverage containers are not allowed in the pool or pool area. Drinks are allowed in the pool area only if served in cans, paper, or plastic containers. No alcoholic beverages are allowed in the pool or pool area.</w:t>
      </w:r>
    </w:p>
    <w:p w:rsidR="00000000" w:rsidDel="00000000" w:rsidP="00000000" w:rsidRDefault="00000000" w:rsidRPr="00000000" w14:paraId="0000031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pool furniture and equipment shall remain in the enclosed pool area and must be returned to its proper place after use. Personal furniture shall not be moved into the pool area.</w:t>
      </w:r>
    </w:p>
    <w:p w:rsidR="00000000" w:rsidDel="00000000" w:rsidP="00000000" w:rsidRDefault="00000000" w:rsidRPr="00000000" w14:paraId="00000315">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Playing with the safety equipment or on the pool ladder is prohibited. Pool gauges, temperature controls, and water levels are not to be changed. Any area where pool maintenance equipment is located is off-limits.</w:t>
      </w:r>
    </w:p>
    <w:p w:rsidR="00000000" w:rsidDel="00000000" w:rsidP="00000000" w:rsidRDefault="00000000" w:rsidRPr="00000000" w14:paraId="00000316">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intoxicated person, or anyone under the influence of drugs, may use the pool or be present in the pool area.</w:t>
      </w:r>
    </w:p>
    <w:p w:rsidR="00000000" w:rsidDel="00000000" w:rsidP="00000000" w:rsidRDefault="00000000" w:rsidRPr="00000000" w14:paraId="0000031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Occupants, their guests and invitees, should cooperate in maintaining cleanliness and sanitation of the pool and pool area.</w:t>
      </w:r>
    </w:p>
    <w:p w:rsidR="00000000" w:rsidDel="00000000" w:rsidP="00000000" w:rsidRDefault="00000000" w:rsidRPr="00000000" w14:paraId="0000031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understands that the swimming pool is strictly an amenity, and that the use of this amenity is not guaranteed under the terms of the Lease. To the extent permitted by law, any interruption to or availability of the use of the pool for maintenance, repair, health emergencies or other lawful reasons will not violate any terms of the Lease.</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A">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Move–Out Information</w:t>
      </w:r>
    </w:p>
    <w:p w:rsidR="00000000" w:rsidDel="00000000" w:rsidP="00000000" w:rsidRDefault="00000000" w:rsidRPr="00000000" w14:paraId="0000031B">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Prior to vacating the Unit, Tenant should thoroughly clean the walls, kitchen and bathroom cabinets, stove/oven, kitchen and bathroom sinks, bathtubs, showers, toilets, plumbing fixtures, windowsills, baseboards, closets and closet shelving, and vacuum/mop the floors to bring the Unit back to its condition at the time of move-in, normal wear and tear excluded.</w:t>
      </w:r>
    </w:p>
    <w:p w:rsidR="00000000" w:rsidDel="00000000" w:rsidP="00000000" w:rsidRDefault="00000000" w:rsidRPr="00000000" w14:paraId="0000031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86" w:hanging="360"/>
        <w:jc w:val="both"/>
        <w:rPr>
          <w:b w:val="0"/>
          <w:bCs w:val="0"/>
          <w:i w:val="0"/>
          <w:iCs w:val="0"/>
          <w:smallCaps w:val="0"/>
          <w:strike w:val="0"/>
          <w:color w:val="000000"/>
          <w:u w:val="none"/>
          <w:shd w:fill="auto" w:val="clear"/>
          <w:vertAlign w:val="baseline"/>
        </w:rPr>
        <w:sectPr>
          <w:footerReference r:id="rId30" w:type="default"/>
          <w:type w:val="nextPage"/>
          <w:pgSz w:h="15840" w:w="12240" w:orient="portrait"/>
          <w:pgMar w:bottom="997" w:top="823" w:left="420" w:right="420" w:header="0" w:footer="69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All of Tenant’s personal property must be removed from the Unit and Community on or before the move-out date. Any personal property remaining in the Unit will be treated as abandoned property and may be disposed of in accordance with the law.</w:t>
      </w:r>
    </w:p>
    <w:p w:rsidR="00000000" w:rsidDel="00000000" w:rsidP="00000000" w:rsidRDefault="00000000" w:rsidRPr="00000000" w14:paraId="0000031D">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tabs>
          <w:tab w:val="left" w:leader="none" w:pos="1308"/>
        </w:tabs>
        <w:spacing w:after="0" w:before="68" w:line="240" w:lineRule="auto"/>
        <w:ind w:left="1308" w:right="586"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Tenant shall provide Landlord with a written notice of a forwarding address so that Landlord can return any security deposit, if applicable, or send the itemization of any security deposit withholding.</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1F">
      <w:pPr>
        <w:spacing w:before="0" w:lineRule="auto"/>
        <w:ind w:left="588" w:right="0" w:firstLine="0"/>
        <w:jc w:val="both"/>
        <w:rPr>
          <w:b w:val="1"/>
          <w:bCs w:val="1"/>
          <w:sz w:val="22"/>
          <w:szCs w:val="22"/>
        </w:rPr>
      </w:pPr>
      <w:r w:rsidDel="00000000" w:rsidR="00000000" w:rsidRPr="00000000">
        <w:rPr>
          <w:b w:val="1"/>
          <w:bCs w:val="1"/>
          <w:sz w:val="22"/>
          <w:szCs w:val="22"/>
          <w:u w:val="single"/>
          <w:rtl w:val="0"/>
        </w:rPr>
        <w:t xml:space="preserve">Rider Construction</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 w:right="408"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Capitalized terms used and not otherwise defined in this Rider have the meanings given to them in the Lease.</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720.0000000000001"/>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into between Landlord and Tenant as of the Effective Date set forth in the Lease.</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324">
      <w:pPr>
        <w:pStyle w:val="Heading3"/>
        <w:ind w:right="586" w:firstLine="588"/>
        <w:jc w:val="both"/>
        <w:rPr/>
      </w:pPr>
      <w:r w:rsidDel="00000000" w:rsidR="00000000" w:rsidRPr="00000000">
        <w:rPr>
          <w:rtl w:val="0"/>
        </w:rPr>
        <w:t xml:space="preserve">A violation of the above rules constitutes a material violation of Tenant’s Lease and is a good cause for tenancy termination and Tenant eviction. These rules shall not be construed to create or establish a standard of care or duty by the Landlord beyond the terms set forth in the Lease or under applicable law.</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63">
      <w:pPr>
        <w:spacing w:before="0" w:after="0" w:line="20" w:lineRule="exact"/>
        <w:ind w:left="0" w:right="0" w:firstLine="0"/>
        <w:jc w:val="right"/>
        <w:rPr>
          <w:sz w:val="16"/>
          <w:szCs w:val="16"/>
        </w:rPr>
        <w:sectPr>
          <w:footerReference r:id="rId30" w:type="default"/>
          <w:type w:val="nextPage"/>
          <w:pgSz w:h="15840" w:w="12240" w:orient="portrait"/>
          <w:pgMar w:bottom="477" w:top="823" w:left="420" w:right="420" w:header="0" w:footer="177"/>
        </w:sectPr>
      </w:pPr>
    </w:p>
    <w:p w:rsidR="00000000" w:rsidDel="00000000" w:rsidP="00000000" w:rsidRDefault="00000000" w:rsidRPr="00000000" w14:paraId="00000364">
      <w:pPr>
        <w:pStyle w:val="Heading3"/>
        <w:spacing w:before="68" w:lineRule="auto"/>
        <w:ind w:left="3154" w:right="3155" w:firstLine="0"/>
        <w:jc w:val="center"/>
        <w:rPr/>
      </w:pPr>
      <w:r w:rsidDel="00000000" w:rsidR="00000000" w:rsidRPr="00000000">
        <w:rPr>
          <w:rtl w:val="0"/>
        </w:rPr>
        <w:t xml:space="preserve">Fine Schedule</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10"/>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23"/>
        <w:gridCol w:w="5123"/>
      </w:tblGrid>
      <w:tr>
        <w:trPr>
          <w:cantSplit w:val="0"/>
          <w:trHeight w:val="252" w:hRule="atLeast"/>
          <w:tblHeader w:val="0"/>
        </w:trPr>
        <w:tc>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w:t>
            </w:r>
          </w:p>
        </w:tc>
        <w:tc>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Penalty Per Occurrence</w:t>
            </w:r>
          </w:p>
        </w:tc>
      </w:tr>
      <w:tr>
        <w:trPr>
          <w:cantSplit w:val="0"/>
          <w:trHeight w:val="252" w:hRule="atLeast"/>
          <w:tblHeader w:val="0"/>
        </w:trPr>
        <w:tc>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Indoors</w:t>
            </w:r>
          </w:p>
        </w:tc>
        <w:tc>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{{fine.smoking_indoors}}</w:t>
            </w:r>
          </w:p>
        </w:tc>
      </w:tr>
      <w:tr>
        <w:trPr>
          <w:cantSplit w:val="0"/>
          <w:trHeight w:val="252" w:hRule="atLeast"/>
          <w:tblHeader w:val="0"/>
        </w:trPr>
        <w:tc>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Dog waste in common areas</w:t>
            </w:r>
          </w:p>
        </w:tc>
        <w:tc>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{{fine.dog_waste}}</w:t>
            </w:r>
          </w:p>
        </w:tc>
      </w:tr>
      <w:tr>
        <w:trPr>
          <w:cantSplit w:val="0"/>
          <w:trHeight w:val="252" w:hRule="atLeast"/>
          <w:tblHeader w:val="0"/>
        </w:trPr>
        <w:tc>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maintain cleanliness of common spaces</w:t>
            </w:r>
          </w:p>
        </w:tc>
        <w:tc>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{{fine.common_space_cleanliness}}</w:t>
            </w:r>
          </w:p>
        </w:tc>
      </w:tr>
      <w:tr>
        <w:trPr>
          <w:cantSplit w:val="0"/>
          <w:trHeight w:val="252" w:hRule="atLeast"/>
          <w:tblHeader w:val="0"/>
        </w:trPr>
        <w:tc>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Leaving items in hallway</w:t>
            </w:r>
          </w:p>
        </w:tc>
        <w:tc>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{{fine.hallway_items}}</w:t>
            </w:r>
          </w:p>
        </w:tc>
      </w:tr>
      <w:tr>
        <w:trPr>
          <w:cantSplit w:val="0"/>
          <w:trHeight w:val="252" w:hRule="atLeast"/>
          <w:tblHeader w:val="0"/>
        </w:trPr>
        <w:tc>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Improper disposal of trash/recycling</w:t>
            </w:r>
          </w:p>
        </w:tc>
        <w:tc>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{{fine.trash_disposal}}</w:t>
            </w:r>
          </w:p>
        </w:tc>
      </w:tr>
      <w:tr>
        <w:trPr>
          <w:cantSplit w:val="0"/>
          <w:trHeight w:val="252" w:hRule="atLeast"/>
          <w:tblHeader w:val="0"/>
        </w:trPr>
        <w:tc>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Damage to building furniture/structures</w:t>
            </w:r>
          </w:p>
        </w:tc>
        <w:tc>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{{fine.furniture_damage}}</w:t>
            </w:r>
          </w:p>
        </w:tc>
      </w:tr>
      <w:tr>
        <w:trPr>
          <w:cantSplit w:val="0"/>
          <w:trHeight w:val="252" w:hRule="atLeast"/>
          <w:tblHeader w:val="0"/>
        </w:trPr>
        <w:tc>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Parking Violations</w:t>
            </w:r>
          </w:p>
        </w:tc>
        <w:tc>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{{fine.parking}}</w:t>
            </w:r>
          </w:p>
        </w:tc>
      </w:tr>
      <w:tr>
        <w:trPr>
          <w:cantSplit w:val="0"/>
          <w:trHeight w:val="505" w:hRule="atLeast"/>
          <w:tblHeader w:val="0"/>
        </w:trPr>
        <w:tc>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Listing apartment for short-term rental (&lt;30 days)</w:t>
            </w:r>
          </w:p>
        </w:tc>
        <w:tc>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{{fine.short_term_rental}}</w:t>
            </w:r>
          </w:p>
        </w:tc>
      </w:tr>
      <w:tr>
        <w:trPr>
          <w:cantSplit w:val="0"/>
          <w:trHeight w:val="505" w:hRule="atLeast"/>
          <w:tblHeader w:val="0"/>
        </w:trPr>
        <w:tc>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Violations of any other house roles or lease terms not listed above</w:t>
            </w:r>
          </w:p>
        </w:tc>
        <w:tc>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{{fine.other_violation}}</w:t>
            </w:r>
          </w:p>
        </w:tc>
      </w:tr>
      <w:tr>
        <w:trPr>
          <w:cantSplit w:val="0"/>
          <w:trHeight w:val="252" w:hRule="atLeast"/>
          <w:tblHeader w:val="0"/>
        </w:trPr>
        <w:tc>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Failure to provide proof of renter’s insurance</w:t>
            </w:r>
          </w:p>
        </w:tc>
        <w:tc>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{{fine.no_insurance}}</w:t>
            </w:r>
          </w:p>
        </w:tc>
      </w:tr>
    </w:tbl>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59" w:lineRule="auto"/>
        <w:ind w:left="587" w:right="6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Charges assessed as Additional Rent. Tenants who are delinquent on rent will automatically lose the right and privilege to use any amenities being provided free of charge. Landlord reserves the right to charge a fee for use by a non-paying Tenant.</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hereby acknowledge the fine schedule and expressly agree to be bound by its terms, committing to promptly pay any fines incurred in accordance with the stipulated conditions. I am aware that Owner and Management reserve the right to make changes or adopt additional rules.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3AF">
      <w:pPr>
        <w:spacing w:before="0" w:after="0" w:line="20" w:lineRule="exact"/>
        <w:ind w:left="0" w:right="0" w:firstLine="0"/>
        <w:jc w:val="right"/>
        <w:rPr>
          <w:sz w:val="16"/>
          <w:szCs w:val="16"/>
        </w:rPr>
        <w:sectPr>
          <w:footerReference r:id="rId31" w:type="default"/>
          <w:type w:val="nextPage"/>
          <w:pgSz w:h="15840" w:w="12240" w:orient="portrait"/>
          <w:pgMar w:bottom="477" w:top="823" w:left="420" w:right="420" w:header="0" w:footer="177"/>
          <w:pgNumType w:start="1"/>
        </w:sectPr>
      </w:pP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3B1">
      <w:pPr>
        <w:pStyle w:val="Heading2"/>
        <w:tabs>
          <w:tab w:val="right" w:leader="none" w:pos="11113"/>
        </w:tabs>
        <w:spacing w:before="90" w:lineRule="auto"/>
        <w:ind w:left="0" w:right="287" w:firstLine="0"/>
        <w:jc w:val="left"/>
        <w:rPr/>
      </w:pPr>
      <w:r w:rsidDel="00000000" w:rsidR="00000000" w:rsidRPr="00000000">
        <w:drawing>
          <wp:inline distT="0" distB="0" distL="0" distR="0">
            <wp:extent cx="1221738" cy="566419"/>
            <wp:effectExtent b="0" l="0" r="0" t="0"/>
            <wp:docPr id="6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1221738" cy="566419"/>
                    </a:xfrm>
                    <a:prstGeom prst="rect"/>
                    <a:ln/>
                  </pic:spPr>
                </pic:pic>
              </a:graphicData>
            </a:graphic>
          </wp:inline>
        </w:drawing>
      </w:r>
      <w:r>
        <w:tab/>
      </w:r>
      <w:r w:rsidDel="00000000" w:rsidR="00000000" w:rsidRPr="00000000">
        <w:rPr>
          <w:rtl w:val="0"/>
        </w:rPr>
        <w:t xml:space="preserve">APPENDIX A</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29"/>
          <w:szCs w:val="29"/>
          <w:u w:val="none"/>
          <w:shd w:fill="auto" w:val="clear"/>
          <w:vertAlign w:val="baseline"/>
        </w:rPr>
      </w:pPr>
    </w:p>
    <w:p w:rsidR="00000000" w:rsidDel="00000000" w:rsidP="00000000" w:rsidRDefault="00000000" w:rsidRPr="00000000" w14:paraId="000003B3">
      <w:pPr>
        <w:spacing w:before="0" w:lineRule="auto"/>
        <w:ind w:left="7297" w:right="0" w:firstLine="0"/>
        <w:jc w:val="left"/>
        <w:rPr>
          <w:rFonts w:ascii="Calibri" w:cs="Calibri" w:eastAsia="Calibri" w:hAnsi="Calibri"/>
          <w:i w:val="1"/>
          <w:iCs w:val="1"/>
          <w:sz w:val="24"/>
          <w:szCs w:val="24"/>
        </w:rPr>
      </w:pPr>
      <w:r w:rsidDel="00000000" w:rsidR="00000000" w:rsidRPr="00000000">
        <w:rPr>
          <w:rFonts w:ascii="Calibri" w:cs="Calibri" w:eastAsia="Calibri" w:hAnsi="Calibri"/>
          <w:i w:val="1"/>
          <w:iCs w:val="1"/>
          <w:sz w:val="24"/>
          <w:szCs w:val="24"/>
          <w:rtl w:val="0"/>
        </w:rPr>
        <w:t xml:space="preserve">Información en Español en el otro lado.</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Calibri" w:cs="Calibri" w:eastAsia="Calibri" w:hAnsi="Calibri"/>
          <w:b w:val="0"/>
          <w:bCs w:val="0"/>
          <w:i w:val="1"/>
          <w:iCs w:val="1"/>
          <w:smallCaps w:val="0"/>
          <w:strike w:val="0"/>
          <w:color w:val="000000"/>
          <w:sz w:val="27"/>
          <w:szCs w:val="27"/>
          <w:u w:val="none"/>
          <w:shd w:fill="auto" w:val="clear"/>
          <w:vertAlign w:val="baseline"/>
        </w:rPr>
      </w:pPr>
    </w:p>
    <w:p w:rsidR="00000000" w:rsidDel="00000000" w:rsidP="00000000" w:rsidRDefault="00000000" w:rsidRPr="00000000" w14:paraId="000003B5">
      <w:pPr>
        <w:spacing w:before="1" w:lineRule="auto"/>
        <w:ind w:left="3155" w:right="3155" w:firstLine="0"/>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Window Guards Required</w:t>
      </w:r>
    </w:p>
    <w:p w:rsidR="00000000" w:rsidDel="00000000" w:rsidP="00000000" w:rsidRDefault="00000000" w:rsidRPr="00000000" w14:paraId="000003B6">
      <w:pPr>
        <w:pStyle w:val="Heading1"/>
        <w:ind w:left="3156" w:right="3155" w:firstLine="0"/>
        <w:jc w:val="center"/>
        <w:rPr/>
      </w:pPr>
      <w:r w:rsidDel="00000000" w:rsidR="00000000" w:rsidRPr="00000000">
        <w:rPr>
          <w:rtl w:val="0"/>
        </w:rPr>
        <w:t xml:space="preserve">Lease Notice to Tenant</w:t>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Calibri" w:cs="Calibri" w:eastAsia="Calibri" w:hAnsi="Calibri"/>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3B8">
      <w:pPr>
        <w:spacing w:before="52" w:lineRule="auto"/>
        <w:ind w:left="298"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 are required by law to have window guards installed in all windows* if a child 10 years of age or younger lives in your apartment.</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Calibri" w:cs="Calibri" w:eastAsia="Calibri" w:hAnsi="Calibri"/>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BA">
      <w:pPr>
        <w:spacing w:before="0" w:line="293.00000000000006"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Your landlord (the owner or managing agent) is required by law to install window guards in your apartment:</w:t>
      </w:r>
    </w:p>
    <w:p w:rsidR="00000000" w:rsidDel="00000000" w:rsidP="00000000" w:rsidRDefault="00000000" w:rsidRPr="00000000" w14:paraId="000003BB">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a child 10 years of age or younger lives in your apartment, or</w:t>
      </w:r>
    </w:p>
    <w:p w:rsidR="00000000" w:rsidDel="00000000" w:rsidP="00000000" w:rsidRDefault="00000000" w:rsidRPr="00000000" w14:paraId="000003B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tabs>
          <w:tab w:val="left" w:leader="none" w:pos="1379"/>
        </w:tabs>
        <w:spacing w:after="0" w:before="0" w:line="385" w:lineRule="auto"/>
        <w:ind w:left="1379" w:right="0" w:hanging="359.00000000000006"/>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you ask them to install window guards at any time (you do not need to give a reason).</w:t>
      </w:r>
    </w:p>
    <w:p w:rsidR="00000000" w:rsidDel="00000000" w:rsidP="00000000" w:rsidRDefault="00000000" w:rsidRPr="00000000" w14:paraId="000003BD">
      <w:pPr>
        <w:spacing w:before="261" w:lineRule="auto"/>
        <w:ind w:left="299" w:right="408"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It is a violation of law to refuse, interfere with installation or remove window guards where required, or to fail to complete and return this form to your landlord. If this form is not returned promptly, an inspection by the landlord will follow.</w:t>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BF">
      <w:pPr>
        <w:pStyle w:val="Heading1"/>
        <w:spacing w:line="338" w:lineRule="auto"/>
        <w:ind w:firstLine="300"/>
        <w:rPr/>
      </w:pPr>
      <w:r w:rsidDel="00000000" w:rsidR="00000000" w:rsidRPr="00000000">
        <w:rPr>
          <w:rtl w:val="0"/>
        </w:rPr>
        <w:t xml:space="preserve">Check one:</w:t>
      </w:r>
    </w:p>
    <w:p w:rsidR="00000000" w:rsidDel="00000000" w:rsidP="00000000" w:rsidRDefault="00000000" w:rsidRPr="00000000" w14:paraId="000003C0">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{{window_guard.mark_has_children}} </w:t>
      </w:r>
      <w:r>
        <w:rPr>
          <w:rFonts w:ascii="Calibri" w:cs="Calibri" w:eastAsia="Calibri" w:hAnsi="Calibri"/>
          <w:sz w:val="24"/>
          <w:szCs w:val="24"/>
          <w:rtl w:val="0"/>
          <w:u w:val="none"/>
        </w:rPr>
        <w:t xml:space="preserve"> Children 10 years of age or younger live in my apartment.</w:t>
      </w:r>
    </w:p>
    <w:p>
      <w:pPr>
        <w:spacing w:before="0" w:line="276"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{{window_guard.mark_no_children}} </w:t>
      </w:r>
      <w:r>
        <w:rPr>
          <w:rFonts w:ascii="Calibri" w:cs="Calibri" w:eastAsia="Calibri" w:hAnsi="Calibri"/>
          <w:sz w:val="24"/>
          <w:szCs w:val="24"/>
          <w:rtl w:val="0"/>
          <w:u w:val="none"/>
        </w:rPr>
        <w:t xml:space="preserve"> No children 10 years of age or younger live in my apartment.</w:t>
      </w:r>
    </w:p>
    <w:p w:rsidR="00000000" w:rsidDel="00000000" w:rsidP="00000000" w:rsidRDefault="00000000" w:rsidRPr="00000000" w14:paraId="000003C1">
      <w:pPr>
        <w:spacing w:before="0" w:lineRule="auto"/>
        <w:ind w:left="502"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 {{window_guard.mark_wants_anyway}} </w:t>
      </w:r>
      <w:r>
        <w:rPr>
          <w:rFonts w:ascii="Calibri" w:cs="Calibri" w:eastAsia="Calibri" w:hAnsi="Calibri"/>
          <w:sz w:val="24"/>
          <w:szCs w:val="24"/>
          <w:rtl w:val="0"/>
          <w:u w:val="none"/>
        </w:rPr>
        <w:t xml:space="preserve"> I want window guards even though I have no children 10 years of age or younger.</w:t>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C3">
      <w:pPr>
        <w:spacing w:before="1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Name: </w:t>
      </w:r>
      <w:r>
        <w:rPr>
          <w:rFonts w:ascii="Calibri" w:cs="Calibri" w:eastAsia="Calibri" w:hAnsi="Calibri"/>
          <w:sz w:val="24"/>
          <w:szCs w:val="24"/>
          <w:u w:val="single"/>
          <w:rtl w:val="0"/>
        </w:rPr>
        <w:t xml:space="preserve">{{tenant.names}}</w:t>
      </w:r>
    </w:p>
    <w:p w:rsidR="00000000" w:rsidDel="00000000" w:rsidP="00000000" w:rsidRDefault="00000000" w:rsidRPr="00000000" w14:paraId="000003C5">
      <w:pPr>
        <w:spacing w:before="160" w:after="0" w:line="240" w:lineRule="auto"/>
        <w:ind w:left="299"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Address: </w:t>
      </w:r>
      <w:r>
        <w:rPr>
          <w:rFonts w:ascii="Calibri" w:cs="Calibri" w:eastAsia="Calibri" w:hAnsi="Calibri"/>
          <w:sz w:val="24"/>
          <w:szCs w:val="24"/>
          <w:u w:val="single"/>
          <w:rtl w:val="0"/>
        </w:rPr>
        <w:t xml:space="preserve">{{property.address_full}}</w:t>
      </w:r>
    </w:p>
    <w:p>
      <w:pPr>
        <w:spacing w:before="160" w:after="0" w:line="240" w:lineRule="auto"/>
        <w:ind w:left="299"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Apartment Number: </w:t>
      </w:r>
      <w:r>
        <w:rPr>
          <w:rFonts w:ascii="Calibri" w:cs="Calibri" w:eastAsia="Calibri" w:hAnsi="Calibri"/>
          <w:sz w:val="24"/>
          <w:szCs w:val="24"/>
          <w:rtl w:val="0"/>
          <w:u w:val="single"/>
        </w:rPr>
        <w:t xml:space="preserve">{{property.unit}}</w:t>
      </w:r>
    </w:p>
    <w:p w:rsidR="00000000" w:rsidDel="00000000" w:rsidP="00000000" w:rsidRDefault="00000000" w:rsidRPr="00000000" w14:paraId="000003C7">
      <w:pPr>
        <w:spacing w:before="220" w:after="0" w:line="240" w:lineRule="auto"/>
        <w:ind w:left="30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Tenant’s Signature:</w:t>
      </w:r>
    </w:p>
    <w:p w:rsidR="00000000" w:rsidDel="00000000" w:rsidP="00000000" w:rsidRDefault="00000000" w:rsidRPr="00000000" w14:paraId="000003C8">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CB">
      <w:pPr>
        <w:spacing w:before="120" w:after="0" w:line="240" w:lineRule="auto"/>
        <w:ind w:left="354"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Date:</w:t>
      </w:r>
    </w:p>
    <w:p w:rsidR="00000000" w:rsidDel="00000000" w:rsidP="00000000" w:rsidRDefault="00000000" w:rsidRPr="00000000" w14:paraId="000003CC">
      <w:pPr>
        <w:keepNext w:val="0"/>
        <w:keepLines w:val="0"/>
        <w:pageBreakBefore w:val="0"/>
        <w:widowControl w:val="0"/>
        <w:pBdr>
          <w:bottom w:val="single" w:sz="6" w:space="0" w:color="000000"/>
        </w:pBdr>
        <w:shd w:fill="auto" w:val="clear"/>
        <w:spacing w:before="0" w:after="0" w:line="240" w:lineRule="auto"/>
        <w:ind w:left="300" w:right="4400" w:firstLine="0"/>
        <w:jc w:val="left"/>
        <w:rPr>
          <w:rFonts w:ascii="Calibri" w:cs="Calibri" w:eastAsia="Calibri" w:hAnsi="Calibri"/>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D0">
      <w:pPr>
        <w:pStyle w:val="Heading1"/>
        <w:spacing w:before="44" w:lineRule="auto"/>
        <w:ind w:firstLine="300"/>
        <w:rPr/>
      </w:pPr>
      <w:r w:rsidDel="00000000" w:rsidR="00000000" w:rsidRPr="00000000">
        <w:rPr>
          <w:rtl w:val="0"/>
        </w:rPr>
        <w:t xml:space="preserve">Return this form to:</w:t>
      </w:r>
    </w:p>
    <w:p w:rsidR="00000000" w:rsidDel="00000000" w:rsidP="00000000" w:rsidRDefault="00000000" w:rsidRPr="00000000" w14:paraId="000003D1">
      <w:pPr>
        <w:spacing w:before="1"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Name of landlord (owner or managing agent): </w:t>
      </w:r>
      <w:r>
        <w:rPr>
          <w:rFonts w:ascii="Calibri" w:cs="Calibri" w:eastAsia="Calibri" w:hAnsi="Calibri"/>
          <w:sz w:val="24"/>
          <w:szCs w:val="24"/>
          <w:rtl w:val="0"/>
          <w:u w:val="single"/>
        </w:rPr>
        <w:t xml:space="preserve">{{landlord.entity_name}}</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Calibri" w:cs="Calibri" w:eastAsia="Calibri" w:hAnsi="Calibri"/>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3D3">
      <w:pPr>
        <w:spacing w:before="0" w:lineRule="auto"/>
        <w:ind w:left="300" w:right="0" w:firstLine="0"/>
        <w:jc w:val="left"/>
        <w:rPr>
          <w:rFonts w:ascii="Calibri" w:cs="Calibri" w:eastAsia="Calibri" w:hAnsi="Calibri"/>
          <w:sz w:val="24"/>
          <w:szCs w:val="24"/>
        </w:rPr>
      </w:pPr>
      <w:r>
        <w:rPr>
          <w:rFonts w:ascii="Calibri" w:cs="Calibri" w:eastAsia="Calibri" w:hAnsi="Calibri"/>
          <w:sz w:val="24"/>
          <w:szCs w:val="24"/>
          <w:rtl w:val="0"/>
          <w:u w:val="none"/>
        </w:rPr>
        <w:t xml:space="preserve">Address of landlord (owner or managing agent): </w:t>
      </w:r>
      <w:r>
        <w:rPr>
          <w:rFonts w:ascii="Calibri" w:cs="Calibri" w:eastAsia="Calibri" w:hAnsi="Calibri"/>
          <w:sz w:val="24"/>
          <w:szCs w:val="24"/>
          <w:rtl w:val="0"/>
          <w:u w:val="single"/>
        </w:rPr>
        <w:t xml:space="preserve">{{landlord.address}}</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D6">
      <w:pPr>
        <w:spacing w:before="0" w:lineRule="auto"/>
        <w:ind w:left="40" w:right="39" w:firstLine="0"/>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 further information, call </w:t>
      </w:r>
      <w:r w:rsidDel="00000000" w:rsidR="00000000" w:rsidRPr="00000000">
        <w:rPr>
          <w:rFonts w:ascii="Calibri" w:cs="Calibri" w:eastAsia="Calibri" w:hAnsi="Calibri"/>
          <w:b w:val="1"/>
          <w:bCs w:val="1"/>
          <w:sz w:val="24"/>
          <w:szCs w:val="24"/>
          <w:rtl w:val="0"/>
        </w:rPr>
        <w:t xml:space="preserve">311 </w:t>
      </w:r>
      <w:r w:rsidDel="00000000" w:rsidR="00000000" w:rsidRPr="00000000">
        <w:rPr>
          <w:rFonts w:ascii="Calibri" w:cs="Calibri" w:eastAsia="Calibri" w:hAnsi="Calibri"/>
          <w:sz w:val="24"/>
          <w:szCs w:val="24"/>
          <w:rtl w:val="0"/>
        </w:rPr>
        <w:t xml:space="preserve">and ask about window falls prevention.</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298" w:right="408"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 windows giving access to fire escapes or windows on the first floor that are required means of egress from the dwelling unit</w:t>
      </w:r>
    </w:p>
    <w:p w:rsidR="00000000" w:rsidDel="00000000" w:rsidP="00000000" w:rsidRDefault="00000000" w:rsidRPr="00000000" w14:paraId="000003DA">
      <w:pPr>
        <w:spacing w:before="0" w:lineRule="auto"/>
        <w:ind w:left="300" w:right="0" w:firstLine="0"/>
        <w:jc w:val="left"/>
        <w:rPr>
          <w:rFonts w:ascii="Calibri" w:cs="Calibri" w:eastAsia="Calibri" w:hAnsi="Calibri"/>
          <w:b w:val="1"/>
          <w:bCs w:val="1"/>
          <w:sz w:val="20"/>
          <w:szCs w:val="20"/>
        </w:rPr>
        <w:sectPr>
          <w:footerReference r:id="rId37" w:type="default"/>
          <w:type w:val="nextPage"/>
          <w:pgSz w:h="15840" w:w="12240" w:orient="portrait"/>
          <w:pgMar w:bottom="477" w:top="343" w:left="420" w:right="420" w:header="0" w:footer="177"/>
        </w:sectPr>
      </w:pPr>
      <w:r w:rsidDel="00000000" w:rsidR="00000000" w:rsidRPr="00000000">
        <w:rPr>
          <w:rFonts w:ascii="Calibri" w:cs="Calibri" w:eastAsia="Calibri" w:hAnsi="Calibri"/>
          <w:b w:val="1"/>
          <w:bCs w:val="1"/>
          <w:sz w:val="20"/>
          <w:szCs w:val="20"/>
          <w:rtl w:val="0"/>
        </w:rPr>
        <w:t xml:space="preserve">1.22</w:t>
      </w:r>
    </w:p>
    <w:tbl>
      <w:tblPr>
        <w:tblW w:w="11400" w:type="dxa"/>
        <w:tblBorders>
          <w:top w:val="single" w:sz="4" w:space="0" w:color="000000"/>
          <w:left w:val="single" w:sz="4" w:space="0" w:color="000000"/>
          <w:bottom w:val="single" w:sz="4" w:space="0" w:color="000000"/>
          <w:right w:val="single" w:sz="4" w:space="0" w:color="000000"/>
          <w:insideH w:val="nil" w:sz="0" w:space="0" w:color="000000"/>
          <w:insideV w:val="nil" w:sz="0" w:space="0" w:color="000000"/>
        </w:tblBorders>
        <w:tblLayout w:type="fixed"/>
      </w:tblPr>
      <w:tblGrid>
        <w:gridCol w:w="11400"/>
      </w:tblGrid>
      <w:tr>
        <w:trPr>
          <w:trHeight w:val="13900" w:hRule="atLeast"/>
        </w:trPr>
        <w:tc>
          <w:tcPr>
            <w:tcW w:w="11400" w:type="dxa"/>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3DC">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760" w:right="76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NOTICE TO TENANT</w:t>
            </w:r>
            <w:r>
              <w:rPr>
                <w:rFonts w:ascii="Times New Roman" w:cs="Times New Roman" w:eastAsia="Times New Roman" w:hAnsi="Times New Roman"/>
                <w:b w:val="1"/>
                <w:i w:val="0"/>
                <w:smallCaps w:val="0"/>
                <w:strike w:val="0"/>
                <w:color w:val="000000"/>
                <w:sz w:val="24"/>
                <w:vertAlign w:val="baseline"/>
                <w:u w:val="none"/>
              </w:rPr>
              <w:br/>
            </w:r>
            <w:r w:rsidDel="00000000" w:rsidR="00000000" w:rsidRPr="00000000">
              <w:rPr>
                <w:rFonts w:ascii="Times New Roman" w:cs="Times New Roman" w:eastAsia="Times New Roman" w:hAnsi="Times New Roman"/>
                <w:b w:val="1"/>
                <w:i w:val="0"/>
                <w:smallCaps w:val="0"/>
                <w:strike w:val="0"/>
                <w:color w:val="292425"/>
                <w:sz w:val="24"/>
                <w:vertAlign w:val="baseline"/>
              </w:rPr>
              <w:t xml:space="preserve">DISCLOSURE OF BEDBUG INFESTATION HISTORY</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Calibri" w:cs="Calibri" w:eastAsia="Calibri" w:hAnsi="Calibri"/>
                <w:b w:val="1"/>
                <w:bCs w:val="1"/>
                <w:i w:val="0"/>
                <w:iCs w:val="0"/>
                <w:smallCaps w:val="0"/>
                <w:strike w:val="0"/>
                <w:color w:val="000000"/>
                <w:sz w:val="15"/>
                <w:szCs w:val="15"/>
                <w:u w:val="none"/>
                <w:shd w:fill="auto" w:val="clear"/>
                <w:vertAlign w:val="baseline"/>
              </w:rPr>
            </w:pPr>
          </w:p>
          <w:p w:rsidR="00000000" w:rsidDel="00000000" w:rsidP="00000000" w:rsidRDefault="00000000" w:rsidRPr="00000000" w14:paraId="000003DE">
            <w:pPr>
              <w:spacing w:before="90" w:line="249" w:lineRule="auto"/>
              <w:ind w:left="319" w:right="408" w:firstLine="0"/>
              <w:jc w:val="left"/>
              <w:rPr>
                <w:sz w:val="24"/>
                <w:szCs w:val="24"/>
              </w:rPr>
            </w:pPr>
            <w:r w:rsidDel="00000000" w:rsidR="00000000" w:rsidRPr="00000000">
              <w:rPr>
                <w:sz w:val="24"/>
                <w:szCs w:val="24"/>
                <w:rtl w:val="0"/>
              </w:rPr>
              <w:t xml:space="preserve">Pursuant to the NYC Housing Maintenance Code, an owner/managing agent of residential rental property shall furnish to each tenant signing a vacancy lease a notice that sets forth the property’s bedbug infestation history.</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7"/>
                <w:szCs w:val="17"/>
                <w:u w:val="none"/>
                <w:shd w:fill="auto" w:val="clear"/>
                <w:vertAlign w:val="baseline"/>
              </w:rPr>
            </w:pPr>
          </w:p>
          <w:p w:rsidR="00000000" w:rsidDel="00000000" w:rsidP="00000000" w:rsidRDefault="00000000" w:rsidRPr="00000000" w14:paraId="000003E0">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Name of tenant(s):</w:t>
            </w:r>
            <w:r>
              <w:rPr>
                <w:sz w:val="24"/>
                <w:szCs w:val="24"/>
                <w:rtl w:val="0"/>
              </w:rPr>
              <w:tab/>
            </w:r>
            <w:r>
              <w:rPr>
                <w:sz w:val="20"/>
                <w:szCs w:val="20"/>
                <w:rtl w:val="0"/>
                <w:u w:val="single"/>
              </w:rPr>
              <w:t xml:space="preserve">{{tenant.names}}</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3E4">
            <w:pPr>
              <w:tabs>
                <w:tab w:val="center" w:leader="none" w:pos="5700"/>
              </w:tabs>
              <w:spacing w:before="90" w:lineRule="auto"/>
              <w:ind w:left="319" w:right="0" w:firstLine="0"/>
              <w:jc w:val="left"/>
              <w:rPr>
                <w:sz w:val="24"/>
                <w:szCs w:val="24"/>
              </w:rPr>
            </w:pPr>
            <w:r w:rsidDel="00000000" w:rsidR="00000000" w:rsidRPr="00000000">
              <w:rPr>
                <w:sz w:val="24"/>
                <w:szCs w:val="24"/>
                <w:rtl w:val="0"/>
              </w:rPr>
              <w:t xml:space="preserve">Subject Premises:</w:t>
            </w:r>
            <w:r>
              <w:rPr>
                <w:sz w:val="24"/>
                <w:szCs w:val="24"/>
                <w:rtl w:val="0"/>
              </w:rPr>
              <w:tab/>
            </w:r>
            <w:r>
              <w:rPr>
                <w:sz w:val="24"/>
                <w:szCs w:val="24"/>
                <w:rtl w:val="0"/>
                <w:u w:val="none"/>
              </w:rPr>
              <w:t xml:space="preserve"> </w:t>
            </w:r>
            <w:r>
              <w:rPr>
                <w:sz w:val="24"/>
                <w:szCs w:val="24"/>
                <w:rtl w:val="0"/>
                <w:u w:val="single"/>
              </w:rPr>
              <w:t xml:space="preserve">{{property.address_full}}</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E7">
            <w:pPr>
              <w:tabs>
                <w:tab w:val="center" w:leader="none" w:pos="5700"/>
              </w:tabs>
              <w:spacing w:before="0" w:lineRule="auto"/>
              <w:ind w:left="319" w:right="0" w:firstLine="0"/>
              <w:jc w:val="left"/>
              <w:rPr>
                <w:sz w:val="20"/>
                <w:szCs w:val="20"/>
              </w:rPr>
            </w:pPr>
            <w:r w:rsidDel="00000000" w:rsidR="00000000" w:rsidRPr="00000000">
              <w:rPr>
                <w:sz w:val="24"/>
                <w:szCs w:val="24"/>
                <w:rtl w:val="0"/>
              </w:rPr>
              <w:t xml:space="preserve">Apt. #:</w:t>
            </w:r>
            <w:r>
              <w:rPr>
                <w:sz w:val="24"/>
                <w:szCs w:val="24"/>
                <w:rtl w:val="0"/>
              </w:rPr>
              <w:tab/>
            </w:r>
            <w:r>
              <w:rPr>
                <w:sz w:val="20"/>
                <w:szCs w:val="20"/>
                <w:rtl w:val="0"/>
                <w:u w:val="single"/>
              </w:rPr>
              <w:t xml:space="preserve">{{property.unit}}</w:t>
            </w:r>
          </w:p>
          <w:p w:rsidR="00000000" w:rsidDel="00000000" w:rsidP="00000000" w:rsidRDefault="00000000" w:rsidRPr="00000000" w14:paraId="000003EB">
            <w:pPr>
              <w:tabs>
                <w:tab w:val="center" w:leader="none" w:pos="5700"/>
              </w:tabs>
              <w:spacing w:before="543" w:lineRule="auto"/>
              <w:ind w:left="319" w:right="0" w:firstLine="0"/>
              <w:jc w:val="left"/>
              <w:rPr>
                <w:sz w:val="20"/>
                <w:szCs w:val="20"/>
              </w:rPr>
            </w:pPr>
            <w:r w:rsidDel="00000000" w:rsidR="00000000" w:rsidRPr="00000000">
              <w:rPr>
                <w:sz w:val="24"/>
                <w:szCs w:val="24"/>
                <w:vertAlign w:val="baseline"/>
                <w:rtl w:val="0"/>
              </w:rPr>
              <w:t xml:space="preserve">Date of vacancy lease:</w:t>
            </w:r>
            <w:r>
              <w:rPr>
                <w:sz w:val="24"/>
                <w:szCs w:val="24"/>
                <w:vertAlign w:val="baseline"/>
                <w:rtl w:val="0"/>
              </w:rPr>
              <w:tab/>
            </w:r>
            <w:r>
              <w:rPr>
                <w:sz w:val="20"/>
                <w:szCs w:val="20"/>
                <w:rtl w:val="0"/>
                <w:u w:val="single"/>
              </w:rPr>
              <w:t xml:space="preserve">{{lease.vacancy_lease_date}}</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ED">
            <w:pPr>
              <w:spacing w:before="0" w:lineRule="auto"/>
              <w:ind w:left="3157" w:right="3136" w:firstLine="0"/>
              <w:jc w:val="center"/>
              <w:rPr>
                <w:b w:val="1"/>
                <w:bCs w:val="1"/>
                <w:sz w:val="24"/>
                <w:szCs w:val="24"/>
              </w:rPr>
            </w:pPr>
            <w:r w:rsidDel="00000000" w:rsidR="00000000" w:rsidRPr="00000000">
              <w:rPr>
                <w:b w:val="1"/>
                <w:bCs w:val="1"/>
                <w:sz w:val="24"/>
                <w:szCs w:val="24"/>
                <w:rtl w:val="0"/>
              </w:rPr>
              <w:t xml:space="preserve">BEDBUG INFESTATION HISTORY</w:t>
            </w:r>
          </w:p>
          <w:p w:rsidR="00000000" w:rsidDel="00000000" w:rsidP="00000000" w:rsidRDefault="00000000" w:rsidRPr="00000000" w14:paraId="000003EE">
            <w:pPr>
              <w:spacing w:before="12" w:lineRule="auto"/>
              <w:ind w:left="2952" w:right="3155" w:firstLine="0"/>
              <w:jc w:val="center"/>
              <w:rPr>
                <w:sz w:val="24"/>
                <w:szCs w:val="24"/>
              </w:rPr>
            </w:pPr>
            <w:r w:rsidDel="00000000" w:rsidR="00000000" w:rsidRPr="00000000">
              <w:rPr>
                <w:sz w:val="24"/>
                <w:szCs w:val="24"/>
                <w:rtl w:val="0"/>
              </w:rPr>
              <w:t xml:space="preserve">(Only boxes checked apply)</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08"/>
              </w:tabs>
              <w:spacing w:after="0" w:before="0" w:line="223" w:lineRule="auto"/>
              <w:ind w:left="759" w:right="0" w:hanging="439"/>
              <w:jc w:val="left"/>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{{bedbug.mark_none}}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There is no history of any bedbug infestation within the past year in the building or in any apartment.</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2">
            <w:pPr>
              <w:tabs>
                <w:tab w:val="left" w:leader="none" w:pos="8644"/>
              </w:tabs>
              <w:spacing w:before="0" w:line="249" w:lineRule="auto"/>
              <w:ind w:left="759" w:right="0" w:hanging="439"/>
              <w:jc w:val="left"/>
              <w:rPr>
                <w:sz w:val="24"/>
                <w:szCs w:val="24"/>
              </w:rPr>
            </w:pPr>
            <w:r>
              <w:rPr>
                <w:sz w:val="24"/>
                <w:szCs w:val="24"/>
                <w:rtl w:val="0"/>
                <w:u w:val="none"/>
              </w:rPr>
              <w:t xml:space="preserve"> {{bedbug.mark_building_eradicated}} </w:t>
            </w:r>
            <w:r>
              <w:rPr>
                <w:sz w:val="24"/>
                <w:szCs w:val="24"/>
                <w:rtl w:val="0"/>
                <w:u w:val="none"/>
              </w:rPr>
              <w:t xml:space="preserve"> During the past year the building had a bedbug infestation history that has been the subject of eradication measures. The location of the infestation was on the</w:t>
            </w:r>
            <w:r w:rsidDel="00000000" w:rsidR="00000000" w:rsidRPr="00000000">
              <w:rPr>
                <w:sz w:val="24"/>
                <w:szCs w:val="24"/>
                <w:u w:val="single"/>
                <w:rtl w:val="0"/>
              </w:rPr>
              <w:tab/>
            </w:r>
            <w:r w:rsidDel="00000000" w:rsidR="00000000" w:rsidRPr="00000000">
              <w:rPr>
                <w:sz w:val="24"/>
                <w:szCs w:val="24"/>
                <w:rtl w:val="0"/>
              </w:rPr>
              <w:t xml:space="preserve">floor(s).</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4">
            <w:pPr>
              <w:tabs>
                <w:tab w:val="left" w:leader="none" w:pos="9125"/>
              </w:tabs>
              <w:spacing w:before="1" w:line="249" w:lineRule="auto"/>
              <w:ind w:left="759" w:right="0" w:hanging="439"/>
              <w:jc w:val="left"/>
              <w:rPr>
                <w:sz w:val="24"/>
                <w:szCs w:val="24"/>
              </w:rPr>
            </w:pPr>
            <w:r>
              <w:rPr>
                <w:sz w:val="24"/>
                <w:szCs w:val="24"/>
                <w:rtl w:val="0"/>
                <w:u w:val="none"/>
              </w:rPr>
              <w:t xml:space="preserve"> {{bedbug.mark_building_not_eradicated}} </w:t>
            </w:r>
            <w:r>
              <w:rPr>
                <w:sz w:val="24"/>
                <w:szCs w:val="24"/>
                <w:rtl w:val="0"/>
                <w:u w:val="none"/>
              </w:rPr>
              <w:t xml:space="preserve"> During the past year the building had a bedbug infestation history on the</w:t>
            </w:r>
            <w:r w:rsidDel="00000000" w:rsidR="00000000" w:rsidRPr="00000000">
              <w:rPr>
                <w:sz w:val="24"/>
                <w:szCs w:val="24"/>
                <w:u w:val="single"/>
                <w:rtl w:val="0"/>
              </w:rPr>
              <w:tab/>
            </w:r>
            <w:r w:rsidDel="00000000" w:rsidR="00000000" w:rsidRPr="00000000">
              <w:rPr>
                <w:sz w:val="24"/>
                <w:szCs w:val="24"/>
                <w:rtl w:val="0"/>
              </w:rPr>
              <w:t xml:space="preserve">floor(s) and it has not been the subject of eradication measures.</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6">
            <w:pPr>
              <w:spacing w:before="0" w:line="249" w:lineRule="auto"/>
              <w:ind w:left="759" w:right="0" w:hanging="439"/>
              <w:jc w:val="left"/>
              <w:rPr>
                <w:sz w:val="24"/>
                <w:szCs w:val="24"/>
              </w:rPr>
            </w:pPr>
            <w:r>
              <w:rPr>
                <w:sz w:val="24"/>
                <w:szCs w:val="24"/>
                <w:rtl w:val="0"/>
                <w:u w:val="none"/>
              </w:rPr>
              <w:t xml:space="preserve"> {{bedbug.mark_apartment_eradicated}} </w:t>
            </w:r>
            <w:r>
              <w:rPr>
                <w:sz w:val="24"/>
                <w:szCs w:val="24"/>
                <w:rtl w:val="0"/>
                <w:u w:val="none"/>
              </w:rPr>
              <w:t xml:space="preserve"> During the past year the apartment had a bedbug infestation history and eradication measures were employed.</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8">
            <w:pPr>
              <w:spacing w:before="1" w:line="249" w:lineRule="auto"/>
              <w:ind w:left="759" w:right="0" w:hanging="439"/>
              <w:jc w:val="left"/>
              <w:rPr>
                <w:sz w:val="24"/>
                <w:szCs w:val="24"/>
              </w:rPr>
            </w:pPr>
            <w:r>
              <w:rPr>
                <w:sz w:val="24"/>
                <w:szCs w:val="24"/>
                <w:rtl w:val="0"/>
                <w:u w:val="none"/>
              </w:rPr>
              <w:t xml:space="preserve"> {{bedbug.mark_apartment_not_eradicated}} </w:t>
            </w:r>
            <w:r>
              <w:rPr>
                <w:sz w:val="24"/>
                <w:szCs w:val="24"/>
                <w:rtl w:val="0"/>
                <w:u w:val="none"/>
              </w:rPr>
              <w:t xml:space="preserve"> During the past year the apartment had a bedbug infestation history and eradication measures were not employed.</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p w:rsidR="00000000" w:rsidDel="00000000" w:rsidP="00000000" w:rsidRDefault="00000000" w:rsidRPr="00000000" w14:paraId="000003FA">
            <w:pPr>
              <w:tabs>
                <w:tab w:val="left" w:leader="none" w:pos="8600"/>
              </w:tabs>
              <w:spacing w:before="0" w:lineRule="auto"/>
              <w:ind w:left="759" w:right="0" w:hanging="439"/>
              <w:jc w:val="left"/>
              <w:rPr>
                <w:sz w:val="24"/>
                <w:szCs w:val="24"/>
              </w:rPr>
            </w:pPr>
            <w:r>
              <w:rPr>
                <w:sz w:val="24"/>
                <w:szCs w:val="24"/>
                <w:rtl w:val="0"/>
                <w:u w:val="none"/>
              </w:rPr>
              <w:t xml:space="preserve"> {{bedbug.mark_other}} </w:t>
            </w:r>
            <w:r>
              <w:rPr>
                <w:sz w:val="24"/>
                <w:szCs w:val="24"/>
                <w:rtl w:val="0"/>
                <w:u w:val="none"/>
              </w:rPr>
              <w:t xml:space="preserve"> </w:t>
            </w:r>
            <w:r>
              <w:rPr>
                <w:sz w:val="24"/>
                <w:szCs w:val="24"/>
                <w:rtl w:val="0"/>
                <w:u w:val="none"/>
              </w:rPr>
              <w:t xml:space="preserve">Other:</w:t>
            </w:r>
            <w:r w:rsidDel="00000000" w:rsidR="00000000" w:rsidRPr="00000000">
              <w:rPr>
                <w:sz w:val="24"/>
                <w:szCs w:val="24"/>
                <w:u w:val="single"/>
                <w:rtl w:val="0"/>
              </w:rPr>
              <w:tab/>
            </w:r>
            <w:r w:rsidDel="00000000" w:rsidR="00000000" w:rsidRPr="00000000">
              <w:rPr>
                <w:sz w:val="24"/>
                <w:szCs w:val="24"/>
                <w:rtl w:val="0"/>
              </w:rPr>
              <w:t xml:space="preserve">.</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3FE">
            <w:pPr>
              <w:tabs>
                <w:tab w:val="left" w:leader="none" w:pos="7306"/>
                <w:tab w:val="left" w:leader="none" w:pos="10119"/>
              </w:tabs>
              <w:spacing w:before="0" w:lineRule="auto"/>
              <w:ind w:left="319" w:right="0" w:firstLine="0"/>
              <w:jc w:val="left"/>
              <w:rPr>
                <w:sz w:val="24"/>
                <w:szCs w:val="24"/>
              </w:rPr>
            </w:pPr>
            <w:r w:rsidDel="00000000" w:rsidR="00000000" w:rsidRPr="00000000">
              <w:rPr>
                <w:sz w:val="24"/>
                <w:szCs w:val="24"/>
                <w:rtl w:val="0"/>
              </w:rPr>
              <w:t xml:space="preserve">Signature of Tenant(s):</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p>
          <w:p w:rsidR="00000000" w:rsidDel="00000000" w:rsidP="00000000" w:rsidRDefault="00000000" w:rsidRPr="00000000" w14:paraId="00000402">
            <w:pPr>
              <w:tabs>
                <w:tab w:val="left" w:leader="none" w:pos="7314"/>
                <w:tab w:val="left" w:leader="none" w:pos="10115"/>
              </w:tabs>
              <w:spacing w:before="90" w:lineRule="auto"/>
              <w:ind w:left="319" w:right="0" w:firstLine="0"/>
              <w:jc w:val="left"/>
              <w:rPr>
                <w:sz w:val="24"/>
                <w:szCs w:val="24"/>
              </w:rPr>
            </w:pPr>
            <w:r w:rsidDel="00000000" w:rsidR="00000000" w:rsidRPr="00000000">
              <w:rPr>
                <w:sz w:val="24"/>
                <w:szCs w:val="24"/>
                <w:rtl w:val="0"/>
              </w:rPr>
              <w:t xml:space="preserve">Signature of </w:t>
            </w:r>
            <w:r w:rsidDel="00000000" w:rsidR="00000000" w:rsidRPr="00000000">
              <w:rPr>
                <w:sz w:val="24"/>
                <w:szCs w:val="24"/>
                <w:rtl w:val="0"/>
              </w:rPr>
              <w:t xml:space="preserve">Owner/Agent</w:t>
            </w:r>
            <w:r w:rsidDel="00000000" w:rsidR="00000000" w:rsidRPr="00000000">
              <w:rPr>
                <w:sz w:val="24"/>
                <w:szCs w:val="24"/>
                <w:rtl w:val="0"/>
              </w:rPr>
              <w:t xml:space="preserve">:</w:t>
            </w:r>
            <w:r w:rsidDel="00000000" w:rsidR="00000000" w:rsidRPr="00000000">
              <w:rPr>
                <w:sz w:val="24"/>
                <w:szCs w:val="24"/>
                <w:u w:val="single"/>
                <w:rtl w:val="0"/>
              </w:rPr>
              <w:tab/>
            </w:r>
            <w:r w:rsidDel="00000000" w:rsidR="00000000" w:rsidRPr="00000000">
              <w:rPr>
                <w:sz w:val="24"/>
                <w:szCs w:val="24"/>
                <w:rtl w:val="0"/>
              </w:rPr>
              <w:t xml:space="preserve">Dated: </w:t>
            </w:r>
            <w:r w:rsidDel="00000000" w:rsidR="00000000" w:rsidRPr="00000000">
              <w:rPr>
                <w:sz w:val="24"/>
                <w:szCs w:val="24"/>
                <w:u w:val="single"/>
                <w:rtl w:val="0"/>
              </w:rPr>
              <w:t xml:space="preserve"> </w:t>
              <w:tab/>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404">
            <w:pPr>
              <w:spacing w:before="93" w:lineRule="auto"/>
              <w:ind w:left="220" w:right="0" w:firstLine="0"/>
              <w:jc w:val="left"/>
              <w:rPr>
                <w:sz w:val="16"/>
                <w:szCs w:val="16"/>
              </w:rPr>
            </w:pPr>
            <w:r w:rsidDel="00000000" w:rsidR="00000000" w:rsidRPr="00000000">
              <w:rPr>
                <w:color w:val="292425"/>
                <w:sz w:val="16"/>
                <w:szCs w:val="16"/>
                <w:rtl w:val="0"/>
              </w:rPr>
              <w:t xml:space="preserve">DBB-N (DHCR 10/10)</w:t>
            </w:r>
          </w:p>
        </w:tc>
      </w:tr>
    </w:tbl>
    <w:p>
      <w:pPr>
        <w:spacing w:before="0" w:after="0" w:line="20" w:lineRule="exact"/>
        <w:rPr>
          <w:sz w:val="2"/>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405">
      <w:pPr>
        <w:pStyle w:val="Heading2"/>
        <w:spacing w:before="68" w:lineRule="auto"/>
        <w:ind w:left="3157" w:right="2726" w:firstLine="0"/>
        <w:rPr/>
      </w:pPr>
      <w:r w:rsidDel="00000000" w:rsidR="00000000" w:rsidRPr="00000000">
        <w:rPr>
          <w:rtl w:val="0"/>
        </w:rPr>
        <w:t xml:space="preserve">Sprinkler System Notice</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7">
      <w:pPr>
        <w:spacing w:before="0" w:line="480" w:lineRule="auto"/>
        <w:ind w:left="588" w:right="408" w:firstLine="0"/>
        <w:jc w:val="left"/>
        <w:rPr>
          <w:b w:val="1"/>
          <w:bCs w:val="1"/>
          <w:sz w:val="24"/>
          <w:szCs w:val="24"/>
        </w:rPr>
      </w:pPr>
      <w:r w:rsidDel="00000000" w:rsidR="00000000" w:rsidRPr="00000000">
        <w:rPr>
          <w:b w:val="1"/>
          <w:bCs w:val="1"/>
          <w:color w:val="221e1f"/>
          <w:sz w:val="24"/>
          <w:szCs w:val="24"/>
          <w:rtl w:val="0"/>
        </w:rPr>
        <w:t xml:space="preserve">Pursuant to New York Real Property Law § 231-a, Landlord makes the following disclosure: Landlord check one:</w:t>
      </w:r>
    </w:p>
    <w:tbl>
      <w:tblPr>
        <w:tblStyle w:val="Table12"/>
        <w:tblW w:w="10246" w:type="dxa"/>
        <w:jc w:val="left"/>
        <w:tblInd w:w="58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2"/>
        <w:gridCol w:w="1510"/>
        <w:gridCol w:w="8174"/>
      </w:tblGrid>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{{sprinkler.mark_option1}} </w:t>
            </w:r>
          </w:p>
        </w:tc>
        <w:trPr>
          <w:cantSplit w:val="0"/>
          <w:trHeight w:val="781" w:hRule="atLeast"/>
          <w:tblHeader w:val="0"/>
        </w:trPr>
        <w:tc>
          <w:tcPr>
            <w:tcBorders>
              <w:left w:val="nil" w:sz="0" w:space="0" w:color="000000"/>
            </w:tcBorders>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1:</w:t>
            </w:r>
          </w:p>
        </w:tc>
        <w:tc>
          <w:tcPr/>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NO maintained and operative sprinkler system in the leased premises.</w:t>
            </w:r>
          </w:p>
        </w:tc>
      </w:tr>
      <w:tr>
        <w:tc>
          <w:tcPr>
            <w:tcW w:w="562" w:type="dxa"/>
            <w:tcBorders>
              <w:left w:val="single" w:sz="4" w:space="0" w:color="000000"/>
              <w:right w:val="nil" w:sz="0" w:space="0" w:color="000000"/>
            </w:tcBorders>
          </w:tcPr>
          <w:p>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{{sprinkler.mark_option2}} </w:t>
            </w:r>
          </w:p>
        </w:tc>
        <w:trPr>
          <w:cantSplit w:val="0"/>
          <w:trHeight w:val="1057" w:hRule="atLeast"/>
          <w:tblHeader w:val="0"/>
        </w:trPr>
        <w:tc>
          <w:tcPr>
            <w:tcBorders>
              <w:left w:val="nil" w:sz="0" w:space="0" w:color="000000"/>
            </w:tcBorders>
          </w:tcPr>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Option 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108" w:right="94"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There is a maintained and operative sprinkler system in the leased premises. The last date on which the Sprinkler System was maintained and inspected was on </w:t>
            </w:r>
            <w:r>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{{sprinkler.last_inspection}}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40D">
      <w:pPr>
        <w:pStyle w:val="Heading2"/>
        <w:ind w:left="588" w:firstLine="0"/>
        <w:jc w:val="left"/>
        <w:rPr/>
      </w:pPr>
      <w:r w:rsidDel="00000000" w:rsidR="00000000" w:rsidRPr="00000000">
        <w:rPr>
          <w:color w:val="221e1f"/>
          <w:rtl w:val="0"/>
        </w:rPr>
        <w:t xml:space="preserve">Sprinkler System Notice provided to Tenants on </w:t>
      </w:r>
      <w:r>
        <w:rPr>
          <w:u w:val="single"/>
          <w:rtl w:val="0"/>
        </w:rPr>
        <w:t xml:space="preserve">{{lease.effective_date}}</w:t>
      </w:r>
      <w:r w:rsidDel="00000000" w:rsidR="00000000" w:rsidRPr="00000000">
        <w:rPr>
          <w:color w:val="221e1f"/>
          <w:rtl w:val="0"/>
        </w:rPr>
        <w:t xml:space="preserve">:</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47">
      <w:pPr>
        <w:spacing w:before="0" w:after="0" w:line="20" w:lineRule="exact"/>
        <w:ind w:left="0" w:right="0" w:firstLine="0"/>
        <w:jc w:val="right"/>
        <w:rPr>
          <w:b w:val="1"/>
          <w:bCs w:val="1"/>
          <w:sz w:val="16"/>
          <w:szCs w:val="16"/>
        </w:rPr>
        <w:sectPr>
          <w:footerReference r:id="rId32" w:type="default"/>
          <w:type w:val="nextPage"/>
          <w:pgSz w:h="15840" w:w="12240" w:orient="portrait"/>
          <w:pgMar w:bottom="477" w:top="823" w:left="420" w:right="420" w:header="0" w:footer="177"/>
          <w:pgNumType w:start="1"/>
        </w:sectPr>
      </w:pPr>
    </w:p>
    <w:p w:rsidR="00000000" w:rsidDel="00000000" w:rsidP="00000000" w:rsidRDefault="00000000" w:rsidRPr="00000000" w14:paraId="00000448">
      <w:pPr>
        <w:spacing w:before="68" w:lineRule="auto"/>
        <w:ind w:left="972" w:right="0" w:firstLine="0"/>
        <w:jc w:val="left"/>
        <w:rPr>
          <w:b w:val="1"/>
          <w:bCs w:val="1"/>
          <w:sz w:val="22"/>
          <w:szCs w:val="22"/>
        </w:rPr>
      </w:pPr>
      <w:r w:rsidDel="00000000" w:rsidR="00000000" w:rsidRPr="00000000">
        <w:rPr>
          <w:b w:val="1"/>
          <w:bCs w:val="1"/>
          <w:sz w:val="22"/>
          <w:szCs w:val="22"/>
          <w:u w:val="single"/>
          <w:rtl w:val="0"/>
        </w:rPr>
        <w:t xml:space="preserve">LEASE/COMMENCEMENT OF OCCUPANCY NOTICE FOR INDOOR ALLERGEN HAZARDS</w:t>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4"/>
          <w:szCs w:val="14"/>
          <w:u w:val="none"/>
          <w:shd w:fill="auto" w:val="clear"/>
          <w:vertAlign w:val="baseline"/>
        </w:rPr>
      </w:pPr>
    </w:p>
    <w:p w:rsidR="00000000" w:rsidDel="00000000" w:rsidP="00000000" w:rsidRDefault="00000000" w:rsidRPr="00000000" w14:paraId="0000044A">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91"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required, under New York City Administrative Code section 27- 2017.1 et seq., to make an annual inspection for indoor allergen hazards (such as mold, mice, rats, and cockroaches) in your apartment and the common areas of the building. The owner must also inspect if you inform him or her that there is a condition in your apartment that is likely to cause an indoor allergen hazard, or you request an inspection, or the Department has issued a violation requiring correction of an indoor allergen hazard for your apartment. If there is an indoor allergen hazard in your apartment, the owner is required to fix it, using the safe work practices that are provided in the law. The owner must also provide new tenants with a pamphlet containing information about indoor allergen hazards.</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C">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60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owner of this building is also required, prior to your occupancy as a new tenant, to fix all visible mold and pest infestations in the apartment, as well as any underlying defects, like leaks, using the safe work practices provided in the law. If the owner provides carpeting or furniture, he or she must thoroughly clean and vacuum it prior to occupancy. This notice must be signed by the owner or his or her representative, and state that he or she has complied with these requirements.</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586"/>
        </w:tabs>
        <w:spacing w:after="0" w:before="0" w:line="240" w:lineRule="auto"/>
        <w:ind w:left="588" w:right="60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{{landlord.print_name}}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 or representative name in print), certify that I have complied with the requirements of the New York City Administrative Code section 27-2017.5 by removing all visible mold and pest infestations and any underlying defects, and where applicable, cleaning and vacuuming any carpeting and furniture that I have provided to the tenant. I have performed the required work using the safe work practices provided in the law.</w:t>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p>
    <w:tbl>
      <w:tblPr>
        <w:tblW w:w="4346"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3068"/>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Signed:</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Print Name: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vertAlign w:val="baseline"/>
                <w:rtl w:val="0"/>
              </w:rPr>
            </w:pPr>
            <w:r>
              <w:rPr>
                <w:rFonts w:ascii="Times New Roman" w:cs="Times New Roman" w:eastAsia="Times New Roman" w:hAnsi="Times New Roman"/>
                <w:b w:val="0"/>
                <w:bCs w:val="0"/>
                <w:i w:val="0"/>
                <w:iCs w:val="0"/>
                <w:smallCaps w:val="0"/>
                <w:strike w:val="0"/>
                <w:color w:val="000000"/>
                <w:sz w:val="22"/>
                <w:szCs w:val="22"/>
                <w:vertAlign w:val="baseline"/>
                <w:rtl w:val="0"/>
                <w:u w:val="none"/>
              </w:rPr>
              <w:t xml:space="preserve">Date:</w:t>
            </w:r>
          </w:p>
        </w:tc>
        <w:tc>
          <w:tcPr>
            <w:tcW w:w="3068"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vertAlign w:val="baseline"/>
                <w:rtl w:val="0"/>
              </w:rPr>
            </w:pPr>
          </w:p>
        </w:tc>
      </w:tr>
    </w:tbl>
    <w:p w:rsidR="00000000" w:rsidDel="00000000" w:rsidP="00000000" w:rsidRDefault="00000000" w:rsidRPr="00000000" w14:paraId="0000046F">
      <w:pPr>
        <w:spacing w:before="0" w:after="0" w:line="20" w:lineRule="exact"/>
        <w:ind w:left="0" w:right="0" w:firstLine="0"/>
        <w:jc w:val="left"/>
        <w:rPr>
          <w:sz w:val="16"/>
          <w:szCs w:val="16"/>
        </w:rPr>
        <w:sectPr>
          <w:footerReference r:id="rId33" w:type="default"/>
          <w:type w:val="nextPage"/>
          <w:pgSz w:h="15840" w:w="12240" w:orient="portrait"/>
          <w:pgMar w:bottom="477" w:top="823" w:left="420" w:right="420" w:header="0" w:footer="177"/>
          <w:pgNumType w:start="1"/>
        </w:sectPr>
      </w:pPr>
    </w:p>
    <w:p w:rsidR="00000000" w:rsidDel="00000000" w:rsidP="00000000" w:rsidRDefault="00000000" w:rsidRPr="00000000" w14:paraId="00000470">
      <w:pPr>
        <w:pStyle w:val="Heading3"/>
        <w:spacing w:before="68" w:lineRule="auto"/>
        <w:ind w:left="0" w:right="1" w:firstLine="0"/>
        <w:jc w:val="center"/>
        <w:rPr/>
      </w:pPr>
      <w:r w:rsidDel="00000000" w:rsidR="00000000" w:rsidRPr="00000000">
        <w:rPr>
          <w:rtl w:val="0"/>
        </w:rPr>
        <w:t xml:space="preserve">NYC Gas Leak, Carbon Monoxide and Smoke Alarm Rider</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INSTALLATION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Pursuant to NYC Housing Maintenance Code § 27–2046.1, Landlord is required by law, and has provided and installed one or more approved and operational carbon monoxide detecting devices in the Unit. Landlord will periodically replace such devices upon the expiration of their useful life. Landlord has also installed an operational smoke alarm(s). The occupant of each apartment in which a carbon monoxide alarm is provided and installed must pay the owner $25.00 per alarm, or a maximum of $50.00 per device where a combined smoke and carbon monoxide detecting device is installed. This fee covers the cost of the work for the initial installation and each periodic replacement. Tenant has one year from the date of installation to pay Landlord.</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TESTING AND MAINTENANCE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is responsible for testing the carbon monoxide and smoke alarms on a monthly basis. Tenant must replace the batteries to the alarms as needed. Tenant must not disconnect or intentionally damage a carbon monoxide detector or smoke alarm(s) or remove their battery without immediately replacing it with a working battery. Tenant may be subject to damages, civil penalties, and attorney’s fees for not complying with this notice. Tenant will not refuse Landlord access for the purpose of inspecting, maintaining, repairing, or installing carbon monoxide detectors or smoke alarms.</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HOW TO REACT TO A CARBON MONOXIDE ALARM OR SUSPECTED GAS LEAK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Carbon monoxide, also known as the silent killer, is an odorless and colorless gas produced by stoves, lanterns, burning charcoal and wood, as well as gas ranges and heating systems. Many people mistake the symptoms of carbon monoxide poisoning for coming down with the flu. The symptoms of carbon monoxide include: Headache, Nausea, Dizziness, Vomiting and Confusion. If the carbon monoxide alarm goes off in the Unit, or there is a suspected gas leak:</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7A">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not ignore the alarm,</w:t>
      </w:r>
    </w:p>
    <w:p w:rsidR="00000000" w:rsidDel="00000000" w:rsidP="00000000" w:rsidRDefault="00000000" w:rsidRPr="00000000" w14:paraId="0000047B">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Turn off appliances, or other sources of combustion at once,</w:t>
      </w:r>
    </w:p>
    <w:p w:rsidR="00000000" w:rsidDel="00000000" w:rsidP="00000000" w:rsidRDefault="00000000" w:rsidRPr="00000000" w14:paraId="0000047C">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Immediately get fresh air into the Unit by opening doors and windows,</w:t>
      </w:r>
    </w:p>
    <w:p w:rsidR="00000000" w:rsidDel="00000000" w:rsidP="00000000" w:rsidRDefault="00000000" w:rsidRPr="00000000" w14:paraId="0000047D">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588"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If anyone is experiencing symptoms of carbon monoxide poisoning call 911 and immediately move to a location that has fresh air,</w:t>
      </w:r>
    </w:p>
    <w:p w:rsidR="00000000" w:rsidDel="00000000" w:rsidP="00000000" w:rsidRDefault="00000000" w:rsidRPr="00000000" w14:paraId="0000047E">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Do a head count to be sure all persons are accounted for,</w:t>
      </w:r>
    </w:p>
    <w:p w:rsidR="00000000" w:rsidDel="00000000" w:rsidP="00000000" w:rsidRDefault="00000000" w:rsidRPr="00000000" w14:paraId="0000047F">
      <w:pPr>
        <w:keepNext w:val="0"/>
        <w:keepLines w:val="0"/>
        <w:pageBreakBefore w:val="0"/>
        <w:widowControl w:val="0"/>
        <w:numPr>
          <w:ilvl w:val="1"/>
          <w:numId w:val="13"/>
        </w:numPr>
        <w:pBdr>
          <w:top w:space="0" w:sz="0" w:val="nil"/>
          <w:left w:space="0" w:sz="0" w:val="nil"/>
          <w:bottom w:space="0" w:sz="0" w:val="nil"/>
          <w:right w:space="0" w:sz="0" w:val="nil"/>
          <w:between w:space="0" w:sz="0" w:val="nil"/>
        </w:pBdr>
        <w:shd w:fill="auto" w:val="clear"/>
        <w:tabs>
          <w:tab w:val="left" w:leader="none" w:pos="1667"/>
          <w:tab w:val="left" w:leader="none" w:pos="1668"/>
        </w:tabs>
        <w:spacing w:after="0" w:before="0" w:line="240" w:lineRule="auto"/>
        <w:ind w:left="1668" w:right="0" w:hanging="360"/>
        <w:jc w:val="left"/>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Do not re-enter the Unit until it has been aired out and the problem corrected, and</w:t>
      </w:r>
    </w:p>
    <w:p w:rsidR="00000000" w:rsidDel="00000000" w:rsidP="00000000" w:rsidRDefault="00000000" w:rsidRPr="00000000" w14:paraId="00000480">
      <w:pPr>
        <w:pStyle w:val="Heading3"/>
        <w:numPr>
          <w:ilvl w:val="1"/>
          <w:numId w:val="13"/>
        </w:numPr>
        <w:tabs>
          <w:tab w:val="left" w:leader="none" w:pos="1667"/>
          <w:tab w:val="left" w:leader="none" w:pos="1668"/>
        </w:tabs>
        <w:spacing w:after="0" w:before="0" w:line="240" w:lineRule="auto"/>
        <w:ind w:left="1668" w:right="0" w:hanging="360"/>
        <w:jc w:val="left"/>
        <w:rPr/>
      </w:pPr>
      <w:r w:rsidDel="00000000" w:rsidR="00000000" w:rsidRPr="00000000">
        <w:rPr>
          <w:rtl w:val="0"/>
        </w:rPr>
        <w:t xml:space="preserve">After calling 911, call the gas service provider for this building as follows:</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1"/>
          <w:bCs w:val="1"/>
          <w:i w:val="0"/>
          <w:iCs w:val="0"/>
          <w:smallCaps w:val="0"/>
          <w:strike w:val="0"/>
          <w:color w:val="000000"/>
          <w:sz w:val="21"/>
          <w:szCs w:val="21"/>
          <w:u w:val="none"/>
          <w:shd w:fill="auto" w:val="clear"/>
          <w:vertAlign w:val="baseline"/>
        </w:rPr>
      </w:pPr>
    </w:p>
    <w:tbl>
      <w:tblPr>
        <w:tblW w:w="8200" w:type="dxa"/>
        <w:tblInd w:w="132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00"/>
        <w:gridCol w:w="3400"/>
      </w:tblGrid>
      <w:tr>
        <w:tc>
          <w:tcPr>
            <w:tcW w:w="4800" w:type="dxa"/>
          </w:tcPr>
          <w:p>
            <w:pPr>
              <w:pBdr>
                <w:bottom w:val="single" w:sz="6" w:space="0" w:color="000000"/>
              </w:pBdr>
              <w:ind w:left="0" w:right="160" w:firstLine="0"/>
              <w:jc w:val="center"/>
              <w:rPr>
                <w:b w:val="1"/>
                <w:bCs w:val="1"/>
                <w:sz w:val="22"/>
                <w:szCs w:val="22"/>
                <w:u w:val="single"/>
                <w:rtl w:val="0"/>
              </w:rPr>
            </w:pPr>
            <w:r>
              <w:rPr>
                <w:b w:val="1"/>
                <w:bCs w:val="1"/>
                <w:sz w:val="22"/>
                <w:szCs w:val="22"/>
                <w:u w:val="single"/>
                <w:rtl w:val="0"/>
              </w:rPr>
              <w:t xml:space="preserve">{{gas.provider_name}}</w:t>
            </w:r>
          </w:p>
        </w:tc>
        <w:tc>
          <w:tcPr>
            <w:tcW w:w="3400" w:type="dxa"/>
          </w:tcPr>
          <w:p>
            <w:pPr>
              <w:pBdr>
                <w:bottom w:val="single" w:sz="6" w:space="0" w:color="000000"/>
              </w:pBdr>
              <w:ind w:left="0" w:right="0" w:firstLine="0"/>
              <w:jc w:val="center"/>
              <w:rPr>
                <w:b w:val="1"/>
                <w:bCs w:val="1"/>
                <w:sz w:val="22"/>
                <w:szCs w:val="22"/>
                <w:u w:val="single"/>
                <w:rtl w:val="0"/>
              </w:rPr>
            </w:pPr>
            <w:r>
              <w:rPr>
                <w:b w:val="1"/>
                <w:bCs w:val="1"/>
                <w:sz w:val="22"/>
                <w:szCs w:val="22"/>
                <w:u w:val="single"/>
                <w:rtl w:val="0"/>
              </w:rPr>
              <w:t xml:space="preserve">{{gas.provider_phone}}</w:t>
            </w:r>
          </w:p>
        </w:tc>
      </w:tr>
      <w:tr>
        <w:tc>
          <w:tcPr>
            <w:tcW w:w="4800" w:type="dxa"/>
          </w:tcPr>
          <w:p>
            <w:pPr>
              <w:ind w:left="0" w:right="0" w:firstLine="0"/>
              <w:jc w:val="center"/>
              <w:rPr>
                <w:b w:val="1"/>
                <w:bCs w:val="1"/>
                <w:sz w:val="22"/>
                <w:szCs w:val="22"/>
                <w:u w:val="single"/>
                <w:rtl w:val="0"/>
              </w:rPr>
            </w:pPr>
            <w:r>
              <w:rPr>
                <w:b w:val="1"/>
                <w:bCs w:val="1"/>
                <w:sz w:val="22"/>
                <w:szCs w:val="22"/>
                <w:rtl w:val="0"/>
                <w:u w:val="none"/>
              </w:rPr>
              <w:t xml:space="preserve">Provider</w:t>
            </w:r>
          </w:p>
        </w:tc>
        <w:tc>
          <w:tcPr>
            <w:tcW w:w="3400" w:type="dxa"/>
          </w:tcPr>
          <w:p>
            <w:pPr>
              <w:ind w:left="0" w:right="0" w:firstLine="0"/>
              <w:jc w:val="center"/>
              <w:rPr>
                <w:b w:val="1"/>
                <w:bCs w:val="1"/>
                <w:sz w:val="22"/>
                <w:szCs w:val="22"/>
                <w:u w:val="single"/>
                <w:rtl w:val="0"/>
              </w:rPr>
            </w:pPr>
            <w:r>
              <w:rPr>
                <w:b w:val="1"/>
                <w:bCs w:val="1"/>
                <w:sz w:val="22"/>
                <w:szCs w:val="22"/>
                <w:rtl w:val="0"/>
                <w:u w:val="none"/>
              </w:rPr>
              <w:t xml:space="preserve">Number</w:t>
            </w:r>
          </w:p>
        </w:tc>
      </w:tr>
    </w:tbl>
    <w:p w:rsidR="00000000" w:rsidDel="00000000" w:rsidP="00000000" w:rsidRDefault="00000000" w:rsidRPr="00000000" w14:paraId="00000482">
      <w:pPr>
        <w:spacing w:before="0" w:line="249" w:lineRule="auto"/>
        <w:ind w:left="1320" w:right="0" w:firstLine="0"/>
        <w:jc w:val="left"/>
        <w:rPr>
          <w:b w:val="1"/>
          <w:bCs w:val="1"/>
          <w:sz w:val="22"/>
          <w:szCs w:val="22"/>
        </w:rPr>
        <w:sectPr>
          <w:footerReference r:id="rId34" w:type="default"/>
          <w:type w:val="nextPage"/>
          <w:pgSz w:h="15840" w:w="12240" w:orient="portrait"/>
          <w:pgMar w:bottom="997" w:top="823" w:left="420" w:right="420" w:header="0" w:footer="697"/>
          <w:pgNumType w:start="1"/>
        </w:sectPr>
      </w:pP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4D0">
      <w:pPr>
        <w:spacing w:before="0" w:after="0" w:line="20" w:lineRule="exact"/>
        <w:ind w:left="0" w:right="0" w:firstLine="0"/>
        <w:jc w:val="left"/>
        <w:rPr>
          <w:sz w:val="16"/>
          <w:szCs w:val="16"/>
        </w:rPr>
        <w:sectPr>
          <w:footerReference r:id="rId34" w:type="default"/>
          <w:type w:val="nextPage"/>
          <w:pgSz w:h="15840" w:w="12240" w:orient="portrait"/>
          <w:pgMar w:bottom="477" w:top="823" w:left="420" w:right="420" w:header="0" w:footer="177"/>
        </w:sectPr>
      </w:pPr>
    </w:p>
    <w:p w:rsidR="00000000" w:rsidDel="00000000" w:rsidP="00000000" w:rsidRDefault="00000000" w:rsidRPr="00000000" w14:paraId="000004D1">
      <w:pPr>
        <w:spacing w:before="68" w:lineRule="auto"/>
        <w:ind w:left="3154" w:right="3155" w:firstLine="0"/>
        <w:jc w:val="center"/>
        <w:rPr>
          <w:b w:val="1"/>
          <w:bCs w:val="1"/>
          <w:sz w:val="22"/>
          <w:szCs w:val="22"/>
        </w:rPr>
      </w:pPr>
      <w:r w:rsidDel="00000000" w:rsidR="00000000" w:rsidRPr="00000000">
        <w:rPr>
          <w:b w:val="1"/>
          <w:bCs w:val="1"/>
          <w:color w:val="231f20"/>
          <w:sz w:val="22"/>
          <w:szCs w:val="22"/>
          <w:rtl w:val="0"/>
        </w:rPr>
        <w:t xml:space="preserve">New York Smoking Policy Rider</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72" w:firstLine="720.0000000000001"/>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incorporated into the Lease entered on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{{lease.effective_date}}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and between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{{landlord.entity_name}}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“Landlord”)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{{tenant.names}}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“Tenant”) for the unit located at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{{property.address_full}}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“Unit”). Any conflict between the terms of the Lease and this Rider shall be resolved in favor of this Rider. Landlord and Tenant agree as follows:</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5">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DEFINITIONS</w:t>
      </w:r>
      <w:r w:rsidDel="00000000" w:rsidR="00000000" w:rsidRPr="00000000">
        <w:rPr>
          <w:b w:val="0"/>
          <w:bCs w:val="0"/>
          <w:rtl w:val="0"/>
        </w:rPr>
        <w:t xml:space="preserve">.</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7">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 means inhaling, exhaling, burning or carrying any lighted or heated cigar, cigarette, little cigar, pipe, water pipe or hookah, herbal cigarette, liquid nicotine, or electronic cigarettes, non-tobacco smoking product (e.g., marijuana or non-tobacco shisha), or any similar form of lighted object or device designed for human use or consumption by the inhalation of smoke or vapor, regardless of whether or not it is legal to possess the substance being inhaled, snuff, and chewing tobacco.</w:t>
      </w:r>
    </w:p>
    <w:p w:rsidR="00000000" w:rsidDel="00000000" w:rsidP="00000000" w:rsidRDefault="00000000" w:rsidRPr="00000000" w14:paraId="000004D8">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7"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“Designated Smoking Areas” means those locations in the Building, Community or outside common areas, including, but not limited to rooftops, pool areas, parking areas, and shared balconies, courtyards, patios, porches or yards where there is a sign posted saying “Smoking is permitted in this space” or such similar language as may be used by Landlord.</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A">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SMOKE FREE AIR ACT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New York City law prohibits smoking and using e-cigarettes of any kind in indoor common areas, including but not limited to, lobbies, hallways, stairwells, mailrooms, fitness areas, storage areas, garages and laundry rooms in any building with three or more residential units. NYC Admin. Code, § 17- 505.</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OTHER LAWS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the event there is a Federal, State, or Local law or further written and signed agreement between the Parties to this Lease which prohibits more conduct than does the policy set forth in this Rider with regard to “smoking” as herein defined, then all such documents shall be read together so as to prohibit all that is prohibited by any such documents, construing any doubts in favor of prohibiting more conduct.</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D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THIRD-PARTY BENEFICIARIES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All residential and commercial occupants of the Community are intended third-party beneficiaries of this Rider to the extent that they are hereby on consent of all Parties to this Lease, granted the right to sue the Tenant herein for specific performance of Tenant’s obligations under this Rider and/or for the purpose of suing the Tenant for damages suffered by any such third-party beneficiaries. It is conclusively presumed that an intended purpose of this Rider is to protect the health of these intended third- party beneficiaries. Nothing in this Rider is intended to give any person who is not a party to this Rider a cause of action against the Landlord for failure to enforce this Rider.</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E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OBLIGATION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Obedience to the policy set forth in this Rider is one of Tenant’s material obligations under the Lease. It is a violation of a substantial obligation of this Lease if the Occupants, and Occupant’s guests or invitees, or anyone else whom Tenant permits to be on a long term or short term basis in the Building or Community or within fifteen (15) feet of any entrance thereof to violate the policy set forth in this Rider. Tenant agrees that any damage caused to the Unit due to smoking, even if permitted by the Landlord, is considered more than normal wear and tear and will be deducted from the Security Deposit. Tenant understands that they will be held liable for the cost of the labor and materials associated with removing and remedying any smoke damage, related cleaning, painting, or other damages within the Unit.</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E2">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1"/>
          <w:iCs w:val="1"/>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POLICY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Smoking is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NOT ALLOWED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the locations checked below (check all boxes that apply).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Even if</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no boxes are checked, the Smoke-Free Air Act bans smoking tobacco or non-tobacco products and using e-</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single"/>
          <w:shd w:fill="auto" w:val="clear"/>
          <w:vertAlign w:val="baseline"/>
          <w:rtl w:val="0"/>
        </w:rPr>
        <w:t xml:space="preserve">cigarettes in indoor common areas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p>
    <w:tbl>
      <w:tblPr>
        <w:tblStyle w:val="Table15"/>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512" w:firstLine="0"/>
              <w:jc w:val="righ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338" w:hRule="atLeast"/>
          <w:tblHeader w:val="0"/>
        </w:trPr>
        <w:tc>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576"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{{smoking.inside_units}}</w:t>
            </w:r>
          </w:p>
        </w:tc>
        <w:tc>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Inside of residential units</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r>
          </w:p>
        </w:tc>
      </w:tr>
      <w:tr>
        <w:trPr>
          <w:cantSplit w:val="0"/>
          <w:trHeight w:val="338" w:hRule="atLeast"/>
          <w:tblHeader w:val="0"/>
        </w:trPr>
        <w:tc>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{{smoking.outside_unit_areas}}</w:t>
            </w:r>
          </w:p>
        </w:tc>
        <w:tc>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Outside of areas that are part of residential units, including balconies, patios and porches</w:t>
            </w:r>
          </w:p>
        </w:tc>
      </w:tr>
    </w:tbl>
    <w:p w:rsidR="00000000" w:rsidDel="00000000" w:rsidP="00000000" w:rsidRDefault="00000000" w:rsidRPr="00000000" w14:paraId="000004EA">
      <w:pPr>
        <w:spacing w:after="0" w:lineRule="auto"/>
        <w:ind w:firstLine="0"/>
        <w:rPr>
          <w:sz w:val="22"/>
          <w:szCs w:val="22"/>
        </w:rPr>
        <w:sectPr>
          <w:footerReference r:id="rId35" w:type="default"/>
          <w:type w:val="nextPage"/>
          <w:pgSz w:h="15840" w:w="12240" w:orient="portrait"/>
          <w:pgMar w:bottom="997" w:top="823" w:left="420" w:right="420" w:header="0" w:footer="697"/>
          <w:pgNumType w:start="1"/>
        </w:sectPr>
      </w:pP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p>
    <w:tbl>
      <w:tblPr>
        <w:tblStyle w:val="Table16"/>
        <w:tblW w:w="9886" w:type="dxa"/>
        <w:jc w:val="left"/>
        <w:tblInd w:w="94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4"/>
        <w:gridCol w:w="8632"/>
      </w:tblGrid>
      <w:tr>
        <w:trPr>
          <w:cantSplit w:val="0"/>
          <w:trHeight w:val="338" w:hRule="atLeast"/>
          <w:tblHeader w:val="0"/>
        </w:trPr>
        <w:tc>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Select:</w:t>
            </w:r>
          </w:p>
        </w:tc>
        <w:tc>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Location(s) where smoking is not allowed:</w:t>
            </w:r>
          </w:p>
        </w:tc>
      </w:tr>
      <w:tr>
        <w:trPr>
          <w:cantSplit w:val="0"/>
          <w:trHeight w:val="591" w:hRule="atLeast"/>
          <w:tblHeader w:val="0"/>
        </w:trPr>
        <w:tc>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{{smoking.outdoor_common}}</w:t>
            </w:r>
          </w:p>
        </w:tc>
        <w:tc>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 common areas, including play areas, rooftops, pool areas, parking areas, and shared balconies, courtyards, patios, porches or yards</w:t>
            </w:r>
          </w:p>
        </w:tc>
      </w:tr>
      <w:tr>
        <w:trPr>
          <w:cantSplit w:val="0"/>
          <w:trHeight w:val="591" w:hRule="atLeast"/>
          <w:tblHeader w:val="0"/>
        </w:trPr>
        <w:tc>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{{smoking.within_15_feet}}</w:t>
            </w:r>
          </w:p>
        </w:tc>
        <w:tc>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Outdoors within 15 feet of entrances, exits, windows, and air intake units on property grounds</w:t>
            </w:r>
          </w:p>
        </w:tc>
      </w:tr>
      <w:tr>
        <w:trPr>
          <w:cantSplit w:val="0"/>
          <w:trHeight w:val="346" w:hRule="atLeast"/>
          <w:tblHeader w:val="0"/>
        </w:trPr>
        <w:tc>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412"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{{smoking.other_areas}}</w:t>
            </w:r>
          </w:p>
        </w:tc>
        <w:tc>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areas/exceptions: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{{smoking.other_areas_text}}</w:t>
            </w:r>
          </w:p>
        </w:tc>
      </w:tr>
    </w:tbl>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1"/>
          <w:iCs w:val="1"/>
          <w:smallCaps w:val="0"/>
          <w:strike w:val="0"/>
          <w:color w:val="000000"/>
          <w:sz w:val="14"/>
          <w:szCs w:val="14"/>
          <w:u w:val="none"/>
          <w:shd w:fill="auto" w:val="clear"/>
          <w:vertAlign w:val="baseline"/>
        </w:rPr>
      </w:pP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307"/>
        </w:tabs>
        <w:spacing w:after="0" w:before="91" w:line="240" w:lineRule="auto"/>
        <w:ind w:left="948" w:right="58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Rent-stabilized and rent-controlled units may be exempt from a policy restricting smoking inside residential units unless the existing tenant consents to the policy in writing.</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4F7">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59" w:lineRule="auto"/>
        <w:ind w:left="948" w:right="58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 MARIJUANA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Despite several states passing laws that allow medical and/or recreational use of marijuana, the federal Controlled Substance Act categorizes marijuana as a Schedule I substance and the manufacture, distribution, or possession of marijuana is a federal criminal offense. Furthermore, federal law does not require Landlord to accommodate the medical and/or recreational use, possession, or cultivation of marijuana. Landlord has determined that the use, possession, cultivation, distribution or manufacture of marijuana interferes with the health, safety, welfare and right to peaceful enjoyment of the Community. Accordingly, any use, possession, cultivation, distribution, or manufacture of marijuana by Occupants or Occupants’ guests or invitees is prohibited in the Community, is a material violation of this Lease, and may result in termination of this Lease and/or eviction.</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1"/>
          <w:szCs w:val="21"/>
          <w:u w:val="none"/>
          <w:shd w:fill="auto" w:val="clear"/>
          <w:vertAlign w:val="baseline"/>
        </w:rPr>
      </w:pPr>
    </w:p>
    <w:p w:rsidR="00000000" w:rsidDel="00000000" w:rsidP="00000000" w:rsidRDefault="00000000" w:rsidRPr="00000000" w14:paraId="000004F9">
      <w:pPr>
        <w:pStyle w:val="Heading3"/>
        <w:numPr>
          <w:ilvl w:val="0"/>
          <w:numId w:val="12"/>
        </w:numPr>
        <w:tabs>
          <w:tab w:val="left" w:leader="none" w:pos="948"/>
        </w:tabs>
        <w:spacing w:after="0" w:before="0" w:line="240" w:lineRule="auto"/>
        <w:ind w:left="948" w:right="0" w:hanging="360"/>
        <w:jc w:val="left"/>
        <w:rPr>
          <w:b w:val="0"/>
          <w:bCs w:val="0"/>
        </w:rPr>
      </w:pPr>
      <w:r w:rsidDel="00000000" w:rsidR="00000000" w:rsidRPr="00000000">
        <w:rPr>
          <w:rtl w:val="0"/>
        </w:rPr>
        <w:t xml:space="preserve">COMPLAINT PROCEDURE</w:t>
      </w:r>
      <w:r w:rsidDel="00000000" w:rsidR="00000000" w:rsidRPr="00000000">
        <w:rPr>
          <w:b w:val="0"/>
          <w:bCs w:val="0"/>
          <w:rtl w:val="0"/>
        </w:rPr>
        <w:t xml:space="preserve">.</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B">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about smoke drifting into a residential unit or common area should be made promptly to the Landlord/Manager listed here: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{{manager.name}}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{{manager.phone}}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4FC">
      <w:pPr>
        <w:keepNext w:val="0"/>
        <w:keepLines w:val="0"/>
        <w:pageBreakBefore w:val="0"/>
        <w:widowControl w:val="0"/>
        <w:numPr>
          <w:ilvl w:val="1"/>
          <w:numId w:val="12"/>
        </w:numPr>
        <w:pBdr>
          <w:top w:space="0" w:sz="0" w:val="nil"/>
          <w:left w:space="0" w:sz="0" w:val="nil"/>
          <w:bottom w:space="0" w:sz="0" w:val="nil"/>
          <w:right w:space="0" w:sz="0" w:val="nil"/>
          <w:between w:space="0" w:sz="0" w:val="nil"/>
        </w:pBdr>
        <w:shd w:fill="auto" w:val="clear"/>
        <w:tabs>
          <w:tab w:val="left" w:leader="none" w:pos="1308"/>
        </w:tabs>
        <w:spacing w:after="0" w:before="0" w:line="240" w:lineRule="auto"/>
        <w:ind w:left="130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Complaints should be made in writing and should be as specific as possible, including the date, approximate time, location where smoke was observed, building address, description of incident and apparent source of smoke.</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p>
    <w:p w:rsidR="00000000" w:rsidDel="00000000" w:rsidP="00000000" w:rsidRDefault="00000000" w:rsidRPr="00000000" w14:paraId="000004F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66"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LANDLORD’S DISCLAIMER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Tenant acknowledges that neither this Rider nor Landlord’s adoption of “smoke free” areas creates a heightened standard of care or presumption of a standard of care owed by Landlord to Occupants (or Occupants’ guests or invitees) with respect to making such “smoke free” areas safer, more habitable, or improved in terms of air quality standards, in comparison to areas where smoking is permitted. Landlord specifically disclaims any implied or express warranties that the Community will have any higher or improved air quality standards than any other rental property. Landlord cannot and does not warrant or promise that the Community will be free from secondhand smoke or vapor. Tenant acknowledges that Landlord's ability to monitor or enforce the provisions of this Rider is dependent in significant part on voluntary compliance by Occupants and Occupants’ guests or invitees. Occupants with respiratory ailments, allergies, or any other physical or mental condition relating to smoke are put on notice that Landlord does not assume any higher duty of care to enforce this Rider than any other Landlord obligation under the Lease.</w:t>
      </w:r>
    </w:p>
    <w:p w:rsidR="00000000" w:rsidDel="00000000" w:rsidP="00000000" w:rsidRDefault="00000000" w:rsidRPr="00000000" w14:paraId="0000050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948"/>
        </w:tabs>
        <w:spacing w:after="0" w:before="0" w:line="240" w:lineRule="auto"/>
        <w:ind w:left="948" w:right="587" w:hanging="360"/>
        <w:jc w:val="both"/>
        <w:rPr>
          <w:b w:val="0"/>
          <w:bCs w:val="0"/>
          <w:i w:val="0"/>
          <w:iCs w:val="0"/>
          <w:smallCaps w:val="0"/>
          <w:strike w:val="0"/>
          <w:color w:val="000000"/>
          <w:u w:val="none"/>
          <w:shd w:fill="auto" w:val="clear"/>
          <w:vertAlign w:val="baseline"/>
        </w:rPr>
        <w:sectPr>
          <w:footerReference r:id="rId35" w:type="default"/>
          <w:type w:val="nextPage"/>
          <w:pgSz w:h="15840" w:w="12240" w:orient="portrait"/>
          <w:pgMar w:bottom="997" w:top="883" w:left="420" w:right="420" w:header="0" w:footer="697"/>
        </w:sect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CAPITALIZED TERMS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Capitalized terms used and not otherwise defined in this Rider have the meanings given to them in the Lease.</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3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Rider is entered into between Landlord and Tenant as of the Effective Date set forth in the Lease.</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5" w:type="default"/>
          <w:type w:val="nextPage"/>
          <w:pgSz w:h="15840" w:w="12240" w:orient="portrait"/>
          <w:pgMar w:bottom="997" w:top="823" w:left="420" w:right="420" w:header="0" w:footer="697"/>
        </w:sectPr>
      </w:pPr>
    </w:p>
    <w:p w:rsidR="00000000" w:rsidDel="00000000" w:rsidP="00000000" w:rsidRDefault="00000000" w:rsidRPr="00000000" w14:paraId="00000364">
      <w:pPr>
        <w:pStyle w:val="Heading3"/>
        <w:spacing w:before="68" w:lineRule="auto"/>
        <w:ind w:left="3154" w:right="3155" w:firstLine="0"/>
        <w:jc w:val="center"/>
        <w:rPr/>
      </w:pPr>
      <w:r>
        <w:rPr>
          <w:rtl w:val="0"/>
        </w:rPr>
        <w:t xml:space="preserve">Rent Concession Rider</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59" w:lineRule="auto"/>
        <w:ind w:left="587" w:right="66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{{concession.terms}}</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Times New Roman" w:cs="Times New Roman" w:eastAsia="Times New Roman" w:hAnsi="Times New Roman"/>
          <w:b w:val="0"/>
          <w:bCs w:val="0"/>
          <w:i w:val="0"/>
          <w:iCs w:val="0"/>
          <w:smallCaps w:val="0"/>
          <w:strike w:val="0"/>
          <w:color w:val="000000"/>
          <w:sz w:val="10"/>
          <w:szCs w:val="10"/>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footerReference r:id="rId36" w:type="default"/>
          <w:type w:val="nextPage"/>
          <w:pgSz w:h="15840" w:w="12240" w:orient="portrait"/>
          <w:pgMar w:bottom="997" w:top="823" w:left="420" w:right="420" w:header="0" w:footer="697"/>
          <w:pgNumType w:start="1"/>
        </w:sectPr>
      </w:pP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1"/>
          <w:szCs w:val="11"/>
          <w:u w:val="none"/>
          <w:shd w:fill="auto" w:val="clear"/>
          <w:vertAlign w:val="baseline"/>
        </w:rPr>
      </w:pPr>
    </w:p>
    <w:tbl>
      <w:tblPr>
        <w:tblW w:w="114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701"/>
        <w:gridCol w:w="9699"/>
      </w:tblGrid>
      <w:tr>
        <w:tc>
          <w:tcPr>
            <w:tcW w:w="1701" w:type="dxa"/>
          </w:tcPr>
          <w:p>
            <w:pPr>
              <w:ind w:left="0" w:right="0" w:firstLine="0"/>
              <w:jc w:val="left"/>
            </w:pPr>
            <w:r w:rsidDel="00000000" w:rsidR="00000000" w:rsidRPr="00000000">
              <w:drawing>
                <wp:inline distT="0" distB="0" distL="0" distR="0">
                  <wp:extent cx="837895" cy="714374"/>
                  <wp:effectExtent b="0" l="0" r="0" t="0"/>
                  <wp:docPr id="69" name="image26.png"/>
                  <a:graphic>
                    <a:graphicData uri="http://schemas.openxmlformats.org/drawingml/2006/picture">
                      <pic:pic>
                        <pic:nvPicPr>
                          <pic:cNvPr id="0" name="image26.png"/>
                          <pic:cNvPicPr preferRelativeResize="0"/>
                        </pic:nvPicPr>
                        <pic:blipFill>
                          <a:blip r:embed="rId21"/>
                          <a:srcRect b="0" l="0" r="0" t="0"/>
                          <a:stretch>
                            <a:fillRect/>
                          </a:stretch>
                        </pic:blipFill>
                        <pic:spPr>
                          <a:xfrm>
                            <a:off x="0" y="0"/>
                            <a:ext cx="837895" cy="714374"/>
                          </a:xfrm>
                          <a:prstGeom prst="rect"/>
                          <a:ln/>
                        </pic:spPr>
                      </pic:pic>
                    </a:graphicData>
                  </a:graphic>
                </wp:inline>
              </w:drawing>
            </w:r>
          </w:p>
        </w:tc>
        <w:tc>
          <w:tcPr>
            <w:tcW w:w="9699" w:type="dxa"/>
          </w:tcPr>
          <w:p w:rsidR="00000000" w:rsidDel="00000000" w:rsidP="00000000" w:rsidRDefault="00000000" w:rsidRPr="00000000" w14:paraId="0000051F">
            <w:pPr>
              <w:spacing w:before="91" w:lineRule="auto"/>
              <w:ind w:left="0" w:right="0" w:firstLine="0"/>
              <w:jc w:val="left"/>
              <w:rPr>
                <w:b w:val="1"/>
                <w:bCs w:val="1"/>
                <w:sz w:val="23"/>
                <w:szCs w:val="23"/>
              </w:rPr>
            </w:pPr>
            <w:r w:rsidDel="00000000" w:rsidR="00000000" w:rsidRPr="00000000">
              <w:rPr>
                <w:b w:val="1"/>
                <w:bCs w:val="1"/>
                <w:sz w:val="23"/>
                <w:szCs w:val="23"/>
                <w:rtl w:val="0"/>
              </w:rPr>
              <w:t xml:space="preserve">DIVISION OF HOUSING AND COMMUNITY RENEWAL</w:t>
            </w:r>
          </w:p>
          <w:p w:rsidR="00000000" w:rsidDel="00000000" w:rsidP="00000000" w:rsidRDefault="00000000" w:rsidRPr="00000000" w14:paraId="00000520">
            <w:pPr>
              <w:spacing w:before="11" w:lineRule="auto"/>
              <w:ind w:left="0" w:right="0" w:firstLine="0"/>
              <w:jc w:val="left"/>
              <w:rPr>
                <w:sz w:val="20"/>
                <w:szCs w:val="20"/>
              </w:rPr>
            </w:pPr>
            <w:r w:rsidDel="00000000" w:rsidR="00000000" w:rsidRPr="00000000">
              <w:rPr>
                <w:sz w:val="20"/>
                <w:szCs w:val="20"/>
                <w:rtl w:val="0"/>
              </w:rPr>
              <w:t xml:space="preserve">92-31 UNION HALL STREET JAMAICA, NEW YORK 11433</w:t>
            </w:r>
          </w:p>
          <w:p w:rsidR="00000000" w:rsidDel="00000000" w:rsidP="00000000" w:rsidRDefault="00000000" w:rsidRPr="00000000" w14:paraId="00000521">
            <w:pPr>
              <w:spacing w:before="0" w:lineRule="auto"/>
              <w:ind w:left="0" w:right="0" w:firstLine="0"/>
              <w:jc w:val="left"/>
              <w:rPr>
                <w:sz w:val="18"/>
                <w:szCs w:val="18"/>
              </w:rPr>
            </w:pPr>
            <w:r w:rsidDel="00000000" w:rsidR="00000000" w:rsidRPr="00000000">
              <w:rPr>
                <w:sz w:val="18"/>
                <w:szCs w:val="18"/>
                <w:rtl w:val="0"/>
              </w:rPr>
              <w:t xml:space="preserve">Web Site: </w:t>
            </w:r>
            <w:hyperlink r:id="rId22">
              <w:r w:rsidDel="00000000" w:rsidR="00000000" w:rsidRPr="00000000">
                <w:rPr>
                  <w:color w:val="0000ff"/>
                  <w:sz w:val="18"/>
                  <w:szCs w:val="18"/>
                  <w:u w:val="single"/>
                  <w:rtl w:val="0"/>
                </w:rPr>
                <w:t xml:space="preserve">www.hcr.ny.gov</w:t>
              </w:r>
            </w:hyperlink>
          </w:p>
        </w:tc>
      </w:tr>
    </w:tbl>
    <w:p w:rsidR="00000000" w:rsidDel="00000000" w:rsidP="00000000" w:rsidRDefault="00000000" w:rsidRPr="00000000" w14:paraId="00000522">
      <w:pPr>
        <w:pStyle w:val="Heading2"/>
        <w:spacing w:before="90" w:lineRule="auto"/>
        <w:ind w:left="0" w:right="0" w:firstLine="0"/>
        <w:jc w:val="center"/>
        <w:rP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Electronic Lease Offer: Tenant’s Voluntary Consent</w:t>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Times New Roman" w:cs="Times New Roman" w:eastAsia="Times New Roman" w:hAnsi="Times New Roman"/>
          <w:b w:val="0"/>
          <w:bCs w:val="0"/>
          <w:i w:val="0"/>
          <w:iCs w:val="0"/>
          <w:smallCaps w:val="0"/>
          <w:strike w:val="0"/>
          <w:color w:val="000000"/>
          <w:sz w:val="9"/>
          <w:szCs w:val="9"/>
          <w:u w:val="none"/>
          <w:shd w:fill="auto" w:val="clear"/>
          <w:vertAlign w:val="baseline"/>
        </w:rPr>
      </w:pPr>
    </w:p>
    <w:p w:rsidR="00000000" w:rsidDel="00000000" w:rsidP="00000000" w:rsidRDefault="00000000" w:rsidRPr="00000000" w14:paraId="00000524">
      <w:pPr>
        <w:pStyle w:val="Heading2"/>
        <w:spacing w:before="90" w:lineRule="auto"/>
        <w:ind w:left="3155" w:right="3155" w:firstLine="0"/>
        <w:rPr/>
      </w:pPr>
      <w:r w:rsidDel="00000000" w:rsidR="00000000" w:rsidRPr="00000000">
        <w:rPr>
          <w:u w:val="single"/>
          <w:rtl w:val="0"/>
        </w:rPr>
        <w:t xml:space="preserve">General Instructions</w:t>
      </w:r>
    </w:p>
    <w:p w:rsidR="00000000" w:rsidDel="00000000" w:rsidP="00000000" w:rsidRDefault="00000000" w:rsidRPr="00000000" w14:paraId="00000525">
      <w:pPr>
        <w:spacing w:before="185" w:line="240" w:lineRule="auto"/>
        <w:ind w:left="300" w:right="295" w:firstLine="0"/>
        <w:jc w:val="both"/>
        <w:rPr>
          <w:sz w:val="24"/>
          <w:szCs w:val="24"/>
        </w:rPr>
      </w:pPr>
      <w:r w:rsidDel="00000000" w:rsidR="00000000" w:rsidRPr="00000000">
        <w:rPr>
          <w:sz w:val="24"/>
          <w:szCs w:val="24"/>
          <w:rtl w:val="0"/>
        </w:rPr>
        <w:t xml:space="preserve">Pursuant to Chapter 74 of the Laws of 2022 and Section 309 of the State Technology Law, owners of buildings and apartments subject to rent stabilization must obtain the voluntary consent of the tenant prior to the use of electronic records to execute a lease or renewal lease. The use of electronic records and signatures is voluntary and cannot be required by an owner.</w:t>
      </w:r>
    </w:p>
    <w:p w:rsidR="00000000" w:rsidDel="00000000" w:rsidP="00000000" w:rsidRDefault="00000000" w:rsidRPr="00000000" w14:paraId="00000526">
      <w:pPr>
        <w:spacing w:before="182" w:lineRule="auto"/>
        <w:ind w:left="300" w:right="294" w:firstLine="0"/>
        <w:jc w:val="both"/>
        <w:rPr>
          <w:sz w:val="24"/>
          <w:szCs w:val="24"/>
        </w:rPr>
      </w:pPr>
      <w:r w:rsidDel="00000000" w:rsidR="00000000" w:rsidRPr="00000000">
        <w:rPr>
          <w:sz w:val="24"/>
          <w:szCs w:val="24"/>
          <w:rtl w:val="0"/>
        </w:rPr>
        <w:t xml:space="preserve">The information entered on the Consent form must be consistent with the information entered in the lease offering to the tenant. Inconsistencies in information provided on this form and any future submissions to DHCR may be referred for internal review and appropriate administrative action.</w:t>
      </w:r>
    </w:p>
    <w:p w:rsidR="00000000" w:rsidDel="00000000" w:rsidP="00000000" w:rsidRDefault="00000000" w:rsidRPr="00000000" w14:paraId="00000527">
      <w:pPr>
        <w:spacing w:before="185" w:lineRule="auto"/>
        <w:ind w:left="300" w:right="298" w:firstLine="0"/>
        <w:jc w:val="both"/>
        <w:rPr>
          <w:sz w:val="24"/>
          <w:szCs w:val="24"/>
        </w:rPr>
      </w:pPr>
      <w:r w:rsidDel="00000000" w:rsidR="00000000" w:rsidRPr="00000000">
        <w:rPr>
          <w:sz w:val="24"/>
          <w:szCs w:val="24"/>
          <w:rtl w:val="0"/>
        </w:rPr>
        <w:t xml:space="preserve">Please refer to the Operational Bulletin 2022-1 ( </w:t>
      </w:r>
      <w:hyperlink r:id="rId23">
        <w:r w:rsidDel="00000000" w:rsidR="00000000" w:rsidRPr="00000000">
          <w:rPr>
            <w:color w:val="0000ff"/>
            <w:sz w:val="24"/>
            <w:szCs w:val="24"/>
            <w:u w:val="single"/>
            <w:rtl w:val="0"/>
          </w:rPr>
          <w:t xml:space="preserve">hcr.ny.gov/operational-bulletin-2022-1</w:t>
        </w:r>
      </w:hyperlink>
      <w:hyperlink r:id="rId24">
        <w:r w:rsidDel="00000000" w:rsidR="00000000" w:rsidRPr="00000000">
          <w:rPr>
            <w:color w:val="0000ff"/>
            <w:sz w:val="24"/>
            <w:szCs w:val="24"/>
            <w:rtl w:val="0"/>
          </w:rPr>
          <w:t xml:space="preserve"> </w:t>
        </w:r>
      </w:hyperlink>
      <w:r w:rsidDel="00000000" w:rsidR="00000000" w:rsidRPr="00000000">
        <w:rPr>
          <w:sz w:val="24"/>
          <w:szCs w:val="24"/>
          <w:rtl w:val="0"/>
        </w:rPr>
        <w:t xml:space="preserve">) for additional detailed information.</w:t>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p>
    <w:p w:rsidR="00000000" w:rsidDel="00000000" w:rsidP="00000000" w:rsidRDefault="00000000" w:rsidRPr="00000000" w14:paraId="00000529">
      <w:pPr>
        <w:pStyle w:val="Heading2"/>
        <w:spacing w:before="90" w:lineRule="auto"/>
        <w:ind w:left="3157" w:right="3155" w:firstLine="0"/>
        <w:rPr/>
      </w:pPr>
      <w:r w:rsidDel="00000000" w:rsidR="00000000" w:rsidRPr="00000000">
        <w:rPr>
          <w:u w:val="single"/>
          <w:rtl w:val="0"/>
        </w:rPr>
        <w:t xml:space="preserve">Filing Instructions</w:t>
      </w:r>
    </w:p>
    <w:p w:rsidR="00000000" w:rsidDel="00000000" w:rsidP="00000000" w:rsidRDefault="00000000" w:rsidRPr="00000000" w14:paraId="0000052A">
      <w:pPr>
        <w:spacing w:before="0" w:lineRule="auto"/>
        <w:ind w:left="0" w:right="9830" w:firstLine="0"/>
        <w:jc w:val="center"/>
        <w:rPr>
          <w:b w:val="1"/>
          <w:bCs w:val="1"/>
          <w:sz w:val="24"/>
          <w:szCs w:val="24"/>
        </w:rPr>
      </w:pPr>
      <w:r w:rsidDel="00000000" w:rsidR="00000000" w:rsidRPr="00000000">
        <w:rPr>
          <w:b w:val="1"/>
          <w:bCs w:val="1"/>
          <w:sz w:val="24"/>
          <w:szCs w:val="24"/>
          <w:u w:val="single"/>
          <w:rtl w:val="0"/>
        </w:rPr>
        <w:t xml:space="preserve">General: </w:t>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2C">
      <w:pPr>
        <w:spacing w:before="90" w:lineRule="auto"/>
        <w:ind w:left="299" w:right="294" w:firstLine="0"/>
        <w:jc w:val="both"/>
        <w:rPr>
          <w:b w:val="1"/>
          <w:bCs w:val="1"/>
          <w:sz w:val="24"/>
          <w:szCs w:val="24"/>
        </w:rPr>
      </w:pPr>
      <w:r w:rsidDel="00000000" w:rsidR="00000000" w:rsidRPr="00000000">
        <w:rPr>
          <w:sz w:val="24"/>
          <w:szCs w:val="24"/>
          <w:rtl w:val="0"/>
        </w:rPr>
        <w:t xml:space="preserve">Owners and tenants choosing to execute leases electronically along with all lawful riders, including but not limited to the New York City Rent Stabilized Lease Rider and/or the ETPA Standard Lease Addenda, will still be bound by the timeframes stipulated by the regulations pertaining to the window periods to offer and respond to a lease offering. Both parties will be required to retain proof of service and response as described in the Operational Bulletin 2022-1 to the electronic lease offering. Additionally, proof may be required in a proceeding before DHCR and/or the courts. </w:t>
      </w:r>
      <w:r w:rsidDel="00000000" w:rsidR="00000000" w:rsidRPr="00000000">
        <w:rPr>
          <w:b w:val="1"/>
          <w:bCs w:val="1"/>
          <w:sz w:val="24"/>
          <w:szCs w:val="24"/>
          <w:rtl w:val="0"/>
        </w:rPr>
        <w:t xml:space="preserve">For specifics on the window periods, see DHCR Fact Sheet #4: Lease Renewal in Rent Stabilized Apartments.</w:t>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2E">
      <w:pPr>
        <w:spacing w:before="1" w:lineRule="auto"/>
        <w:ind w:left="300" w:right="298" w:firstLine="0"/>
        <w:jc w:val="both"/>
        <w:rPr>
          <w:sz w:val="24"/>
          <w:szCs w:val="24"/>
        </w:rPr>
      </w:pPr>
      <w:r w:rsidDel="00000000" w:rsidR="00000000" w:rsidRPr="00000000">
        <w:rPr>
          <w:sz w:val="24"/>
          <w:szCs w:val="24"/>
          <w:rtl w:val="0"/>
        </w:rPr>
        <w:t xml:space="preserve">Please Note: The consent given in this form will apply to all subsequent lease renewal offers during the tenant’s tenancy. Both owners and tenants retain the right to opt out of future electronic lease offerings by providing written notice to the other party. Should either the owner or tenant information change, both owners and tenants are required to provide written notice to the other party, and a new consent form should be completed.</w:t>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p>
    <w:p w:rsidR="00000000" w:rsidDel="00000000" w:rsidP="00000000" w:rsidRDefault="00000000" w:rsidRPr="00000000" w14:paraId="00000530">
      <w:pPr>
        <w:pStyle w:val="Heading2"/>
        <w:ind w:right="1" w:firstLine="0"/>
        <w:rPr/>
      </w:pPr>
      <w:r w:rsidDel="00000000" w:rsidR="00000000" w:rsidRPr="00000000">
        <w:rPr>
          <w:u w:val="single"/>
          <w:rtl w:val="0"/>
        </w:rPr>
        <w:t xml:space="preserve">BEFORE YOU COMPLETE THE FORM AND SERVE ON TENANT</w:t>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32">
      <w:pPr>
        <w:spacing w:before="90" w:lineRule="auto"/>
        <w:ind w:left="1199" w:right="295" w:hanging="900"/>
        <w:jc w:val="both"/>
        <w:rPr>
          <w:sz w:val="24"/>
          <w:szCs w:val="24"/>
        </w:rPr>
      </w:pPr>
      <w:r w:rsidDel="00000000" w:rsidR="00000000" w:rsidRPr="00000000">
        <w:rPr>
          <w:b w:val="1"/>
          <w:bCs w:val="1"/>
          <w:sz w:val="24"/>
          <w:szCs w:val="24"/>
          <w:rtl w:val="0"/>
        </w:rPr>
        <w:t xml:space="preserve">Owners: </w:t>
      </w:r>
      <w:r w:rsidDel="00000000" w:rsidR="00000000" w:rsidRPr="00000000">
        <w:rPr>
          <w:sz w:val="24"/>
          <w:szCs w:val="24"/>
          <w:rtl w:val="0"/>
        </w:rPr>
        <w:t xml:space="preserve">This document should be </w:t>
      </w:r>
      <w:r w:rsidDel="00000000" w:rsidR="00000000" w:rsidRPr="00000000">
        <w:rPr>
          <w:sz w:val="24"/>
          <w:szCs w:val="24"/>
          <w:u w:val="single"/>
          <w:rtl w:val="0"/>
        </w:rPr>
        <w:t xml:space="preserve">completed by the owner and provided to the tenant</w:t>
      </w:r>
      <w:r w:rsidDel="00000000" w:rsidR="00000000" w:rsidRPr="00000000">
        <w:rPr>
          <w:sz w:val="24"/>
          <w:szCs w:val="24"/>
          <w:rtl w:val="0"/>
        </w:rPr>
        <w:t xml:space="preserve"> to obtain the tenant’s voluntary consent prior to/or concurrent with the electronic lease offering. The consent form must be signed by both parties and a copy must be provided to the tenant. Please retain a copy of all documents for your records. The Consent Form is </w:t>
      </w:r>
      <w:r w:rsidDel="00000000" w:rsidR="00000000" w:rsidRPr="00000000">
        <w:rPr>
          <w:b w:val="1"/>
          <w:bCs w:val="1"/>
          <w:sz w:val="24"/>
          <w:szCs w:val="24"/>
          <w:u w:val="single"/>
          <w:rtl w:val="0"/>
        </w:rPr>
        <w:t xml:space="preserve">NOT</w:t>
      </w:r>
      <w:r w:rsidDel="00000000" w:rsidR="00000000" w:rsidRPr="00000000">
        <w:rPr>
          <w:b w:val="1"/>
          <w:bCs w:val="1"/>
          <w:sz w:val="24"/>
          <w:szCs w:val="24"/>
          <w:rtl w:val="0"/>
        </w:rPr>
        <w:t xml:space="preserve"> </w:t>
      </w:r>
      <w:r w:rsidDel="00000000" w:rsidR="00000000" w:rsidRPr="00000000">
        <w:rPr>
          <w:sz w:val="24"/>
          <w:szCs w:val="24"/>
          <w:rtl w:val="0"/>
        </w:rPr>
        <w:t xml:space="preserve">required to be served on the Office of Rent Administration.</w:t>
      </w:r>
    </w:p>
    <w:p w:rsidR="00000000" w:rsidDel="00000000" w:rsidP="00000000" w:rsidRDefault="00000000" w:rsidRPr="00000000" w14:paraId="00000533">
      <w:pPr>
        <w:spacing w:before="185" w:line="237" w:lineRule="auto"/>
        <w:ind w:left="1207" w:right="295" w:hanging="908"/>
        <w:jc w:val="both"/>
        <w:rPr>
          <w:sz w:val="24"/>
          <w:szCs w:val="24"/>
        </w:rPr>
        <w:sectPr>
          <w:footerReference r:id="rId37" w:type="default"/>
          <w:type w:val="nextPage"/>
          <w:pgSz w:h="15840" w:w="12240" w:orient="portrait"/>
          <w:pgMar w:bottom="506" w:top="634" w:left="420" w:right="420" w:header="0" w:footer="206"/>
        </w:sectPr>
      </w:pPr>
      <w:r w:rsidDel="00000000" w:rsidR="00000000" w:rsidRPr="00000000">
        <w:rPr>
          <w:b w:val="1"/>
          <w:bCs w:val="1"/>
          <w:sz w:val="24"/>
          <w:szCs w:val="24"/>
          <w:rtl w:val="0"/>
        </w:rPr>
        <w:t xml:space="preserve">Tenants: </w:t>
      </w:r>
      <w:r w:rsidDel="00000000" w:rsidR="00000000" w:rsidRPr="00000000">
        <w:rPr>
          <w:sz w:val="24"/>
          <w:szCs w:val="24"/>
          <w:rtl w:val="0"/>
        </w:rPr>
        <w:t xml:space="preserve">Please review the information entered by the owner before signing the “Tenant’s Statement of Consent” and returning the form to the owner. For informational purposes only, this form has been translated into Español (Spanish), </w:t>
      </w:r>
      <w:r w:rsidDel="00000000" w:rsidR="00000000" w:rsidRPr="00000000">
        <w:rPr>
          <w:rFonts w:ascii="SimSun" w:cs="SimSun" w:eastAsia="SimSun" w:hAnsi="SimSun"/>
          <w:sz w:val="24"/>
          <w:szCs w:val="24"/>
          <w:rtl w:val="0"/>
        </w:rPr>
        <w:t xml:space="preserve">中國 </w:t>
      </w:r>
      <w:r w:rsidDel="00000000" w:rsidR="00000000" w:rsidRPr="00000000">
        <w:rPr>
          <w:rFonts w:ascii="MS Gothic" w:cs="MS Gothic" w:eastAsia="MS Gothic" w:hAnsi="MS Gothic"/>
          <w:sz w:val="24"/>
          <w:szCs w:val="24"/>
          <w:rtl w:val="0"/>
        </w:rPr>
        <w:t xml:space="preserve">- </w:t>
      </w:r>
      <w:r w:rsidDel="00000000" w:rsidR="00000000" w:rsidRPr="00000000">
        <w:rPr>
          <w:rFonts w:ascii="SimSun" w:cs="SimSun" w:eastAsia="SimSun" w:hAnsi="SimSun"/>
          <w:sz w:val="24"/>
          <w:szCs w:val="24"/>
          <w:rtl w:val="0"/>
        </w:rPr>
        <w:t xml:space="preserve">傳統 </w:t>
      </w:r>
      <w:r w:rsidDel="00000000" w:rsidR="00000000" w:rsidRPr="00000000">
        <w:rPr>
          <w:sz w:val="24"/>
          <w:szCs w:val="24"/>
          <w:rtl w:val="0"/>
        </w:rPr>
        <w:t xml:space="preserve">(Chinese - Traditional), Русский (Russian), Italiano (Italian), Kreyòl Ayisyen (Haitian-Creole), </w:t>
      </w:r>
      <w:r w:rsidDel="00000000" w:rsidR="00000000" w:rsidRPr="00000000">
        <w:rPr>
          <w:rFonts w:ascii="Malgun Gothic" w:cs="Malgun Gothic" w:eastAsia="Malgun Gothic" w:hAnsi="Malgun Gothic"/>
          <w:sz w:val="24"/>
          <w:szCs w:val="24"/>
          <w:rtl w:val="0"/>
        </w:rPr>
        <w:t xml:space="preserve">한국어 </w:t>
      </w:r>
      <w:r w:rsidDel="00000000" w:rsidR="00000000" w:rsidRPr="00000000">
        <w:rPr>
          <w:sz w:val="24"/>
          <w:szCs w:val="24"/>
          <w:rtl w:val="0"/>
        </w:rPr>
        <w:t xml:space="preserve">(Korean), </w:t>
      </w:r>
      <w:r w:rsidDel="00000000" w:rsidR="00000000" w:rsidRPr="00000000">
        <w:rPr>
          <w:rFonts w:ascii="Nirmala UI" w:cs="Nirmala UI" w:eastAsia="Nirmala UI" w:hAnsi="Nirmala UI"/>
          <w:sz w:val="24"/>
          <w:szCs w:val="24"/>
          <w:rtl w:val="0"/>
        </w:rPr>
        <w:t xml:space="preserve">বাংলা </w:t>
      </w:r>
      <w:r w:rsidDel="00000000" w:rsidR="00000000" w:rsidRPr="00000000">
        <w:rPr>
          <w:sz w:val="24"/>
          <w:szCs w:val="24"/>
          <w:rtl w:val="0"/>
        </w:rPr>
        <w:t xml:space="preserve">(</w:t>
      </w:r>
      <w:r w:rsidDel="00000000" w:rsidR="00000000" w:rsidRPr="00000000">
        <w:rPr>
          <w:sz w:val="24"/>
          <w:szCs w:val="24"/>
          <w:rtl w:val="0"/>
        </w:rPr>
        <w:t xml:space="preserve">Bengali</w:t>
      </w:r>
      <w:r w:rsidDel="00000000" w:rsidR="00000000" w:rsidRPr="00000000">
        <w:rPr>
          <w:sz w:val="24"/>
          <w:szCs w:val="24"/>
          <w:rtl w:val="0"/>
        </w:rPr>
        <w:t xml:space="preserve">), </w:t>
      </w:r>
      <w:r w:rsidDel="00000000" w:rsidR="00000000" w:rsidRPr="00000000">
        <w:rPr>
          <w:sz w:val="24"/>
          <w:szCs w:val="24"/>
          <w:rtl w:val="1"/>
        </w:rPr>
        <w:t xml:space="preserve">אידיש</w:t>
      </w:r>
      <w:r w:rsidDel="00000000" w:rsidR="00000000" w:rsidRPr="00000000">
        <w:rPr>
          <w:sz w:val="24"/>
          <w:szCs w:val="24"/>
          <w:rtl w:val="0"/>
        </w:rPr>
        <w:t xml:space="preserve"> (</w:t>
      </w:r>
      <w:r w:rsidDel="00000000" w:rsidR="00000000" w:rsidRPr="00000000">
        <w:rPr>
          <w:sz w:val="24"/>
          <w:szCs w:val="24"/>
          <w:rtl w:val="0"/>
        </w:rPr>
        <w:t xml:space="preserve">Yiddish</w:t>
      </w:r>
      <w:r w:rsidDel="00000000" w:rsidR="00000000" w:rsidRPr="00000000">
        <w:rPr>
          <w:sz w:val="24"/>
          <w:szCs w:val="24"/>
          <w:rtl w:val="0"/>
        </w:rPr>
        <w:t xml:space="preserve">), </w:t>
      </w:r>
      <w:r w:rsidDel="00000000" w:rsidR="00000000" w:rsidRPr="00000000">
        <w:rPr>
          <w:sz w:val="24"/>
          <w:szCs w:val="24"/>
          <w:rtl w:val="0"/>
        </w:rPr>
        <w:t xml:space="preserve">Polish</w:t>
      </w:r>
      <w:r w:rsidDel="00000000" w:rsidR="00000000" w:rsidRPr="00000000">
        <w:rPr>
          <w:sz w:val="24"/>
          <w:szCs w:val="24"/>
          <w:rtl w:val="0"/>
        </w:rPr>
        <w:t xml:space="preserve"> (</w:t>
      </w:r>
      <w:r w:rsidDel="00000000" w:rsidR="00000000" w:rsidRPr="00000000">
        <w:rPr>
          <w:sz w:val="24"/>
          <w:szCs w:val="24"/>
          <w:rtl w:val="0"/>
        </w:rPr>
        <w:t xml:space="preserve">Polski</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Arabic</w:t>
      </w:r>
      <w:r w:rsidDel="00000000" w:rsidR="00000000" w:rsidRPr="00000000">
        <w:rPr>
          <w:sz w:val="24"/>
          <w:szCs w:val="24"/>
          <w:rtl w:val="0"/>
        </w:rPr>
        <w:t xml:space="preserve"> (</w:t>
      </w:r>
      <w:r w:rsidDel="00000000" w:rsidR="00000000" w:rsidRPr="00000000">
        <w:rPr>
          <w:sz w:val="24"/>
          <w:szCs w:val="24"/>
          <w:vertAlign w:val="baseline"/>
          <w:rtl w:val="0"/>
        </w:rPr>
        <w:t xml:space="preserve">ِ</w:t>
      </w:r>
      <w:r w:rsidDel="00000000" w:rsidR="00000000" w:rsidRPr="00000000">
        <w:rPr>
          <w:sz w:val="24"/>
          <w:szCs w:val="24"/>
          <w:rtl w:val="1"/>
        </w:rPr>
        <w:t xml:space="preserve">ﺑﻲ</w:t>
      </w:r>
      <w:r w:rsidDel="00000000" w:rsidR="00000000" w:rsidRPr="00000000">
        <w:rPr>
          <w:sz w:val="24"/>
          <w:szCs w:val="24"/>
          <w:vertAlign w:val="baseline"/>
          <w:rtl w:val="0"/>
        </w:rPr>
        <w:t xml:space="preserve"> َ</w:t>
      </w:r>
      <w:r w:rsidDel="00000000" w:rsidR="00000000" w:rsidRPr="00000000">
        <w:rPr>
          <w:sz w:val="24"/>
          <w:szCs w:val="24"/>
          <w:rtl w:val="1"/>
        </w:rPr>
        <w:t xml:space="preserve">ﺮ</w:t>
      </w:r>
      <w:r w:rsidDel="00000000" w:rsidR="00000000" w:rsidRPr="00000000">
        <w:rPr>
          <w:sz w:val="24"/>
          <w:szCs w:val="24"/>
          <w:vertAlign w:val="baseline"/>
          <w:rtl w:val="0"/>
        </w:rPr>
        <w:t xml:space="preserve"> َ</w:t>
      </w:r>
      <w:r w:rsidDel="00000000" w:rsidR="00000000" w:rsidRPr="00000000">
        <w:rPr>
          <w:sz w:val="24"/>
          <w:szCs w:val="24"/>
          <w:rtl w:val="1"/>
        </w:rPr>
        <w:t xml:space="preserve">ﻌ</w:t>
      </w:r>
      <w:r w:rsidDel="00000000" w:rsidR="00000000" w:rsidRPr="00000000">
        <w:rPr>
          <w:sz w:val="24"/>
          <w:szCs w:val="24"/>
          <w:vertAlign w:val="baseline"/>
          <w:rtl w:val="0"/>
        </w:rPr>
        <w:t xml:space="preserve"> </w:t>
      </w:r>
      <w:r w:rsidDel="00000000" w:rsidR="00000000" w:rsidRPr="00000000">
        <w:rPr>
          <w:sz w:val="24"/>
          <w:szCs w:val="24"/>
          <w:rtl w:val="1"/>
        </w:rPr>
        <w:t xml:space="preserve">اﻟ</w:t>
      </w:r>
      <w:r w:rsidDel="00000000" w:rsidR="00000000" w:rsidRPr="00000000">
        <w:rPr>
          <w:sz w:val="24"/>
          <w:szCs w:val="24"/>
          <w:rtl w:val="0"/>
        </w:rPr>
        <w:t xml:space="preserve">), </w:t>
      </w:r>
      <w:r w:rsidDel="00000000" w:rsidR="00000000" w:rsidRPr="00000000">
        <w:rPr>
          <w:sz w:val="24"/>
          <w:szCs w:val="24"/>
          <w:rtl w:val="0"/>
        </w:rPr>
        <w:t xml:space="preserve">and</w:t>
      </w:r>
      <w:r w:rsidDel="00000000" w:rsidR="00000000" w:rsidRPr="00000000">
        <w:rPr>
          <w:sz w:val="24"/>
          <w:szCs w:val="24"/>
          <w:rtl w:val="0"/>
        </w:rPr>
        <w:t xml:space="preserve"> </w:t>
      </w:r>
      <w:r w:rsidDel="00000000" w:rsidR="00000000" w:rsidRPr="00000000">
        <w:rPr>
          <w:sz w:val="24"/>
          <w:szCs w:val="24"/>
          <w:rtl w:val="0"/>
        </w:rPr>
        <w:t xml:space="preserve">can</w:t>
      </w:r>
      <w:r w:rsidDel="00000000" w:rsidR="00000000" w:rsidRPr="00000000">
        <w:rPr>
          <w:sz w:val="24"/>
          <w:szCs w:val="24"/>
          <w:rtl w:val="0"/>
        </w:rPr>
        <w:t xml:space="preserve"> </w:t>
      </w:r>
      <w:r w:rsidDel="00000000" w:rsidR="00000000" w:rsidRPr="00000000">
        <w:rPr>
          <w:sz w:val="24"/>
          <w:szCs w:val="24"/>
          <w:rtl w:val="0"/>
        </w:rPr>
        <w:t xml:space="preserve">be</w:t>
      </w:r>
      <w:r w:rsidDel="00000000" w:rsidR="00000000" w:rsidRPr="00000000">
        <w:rPr>
          <w:sz w:val="24"/>
          <w:szCs w:val="24"/>
          <w:rtl w:val="0"/>
        </w:rPr>
        <w:t xml:space="preserve"> </w:t>
      </w:r>
      <w:r w:rsidDel="00000000" w:rsidR="00000000" w:rsidRPr="00000000">
        <w:rPr>
          <w:sz w:val="24"/>
          <w:szCs w:val="24"/>
          <w:rtl w:val="0"/>
        </w:rPr>
        <w:t xml:space="preserve">found</w:t>
      </w:r>
      <w:r w:rsidDel="00000000" w:rsidR="00000000" w:rsidRPr="00000000">
        <w:rPr>
          <w:sz w:val="24"/>
          <w:szCs w:val="24"/>
          <w:rtl w:val="0"/>
        </w:rPr>
        <w:t xml:space="preserve"> </w:t>
      </w:r>
      <w:r w:rsidDel="00000000" w:rsidR="00000000" w:rsidRPr="00000000">
        <w:rPr>
          <w:sz w:val="24"/>
          <w:szCs w:val="24"/>
          <w:rtl w:val="0"/>
        </w:rPr>
        <w:t xml:space="preserve">at</w:t>
      </w:r>
      <w:r w:rsidDel="00000000" w:rsidR="00000000" w:rsidRPr="00000000">
        <w:rPr>
          <w:sz w:val="24"/>
          <w:szCs w:val="24"/>
          <w:rtl w:val="0"/>
        </w:rPr>
        <w:t xml:space="preserve"> </w:t>
      </w:r>
      <w:r w:rsidDel="00000000" w:rsidR="00000000" w:rsidRPr="00000000">
        <w:rPr>
          <w:sz w:val="24"/>
          <w:szCs w:val="24"/>
          <w:rtl w:val="0"/>
        </w:rPr>
        <w:t xml:space="preserve">the</w:t>
      </w:r>
      <w:r w:rsidDel="00000000" w:rsidR="00000000" w:rsidRPr="00000000">
        <w:rPr>
          <w:sz w:val="24"/>
          <w:szCs w:val="24"/>
          <w:rtl w:val="0"/>
        </w:rPr>
        <w:t xml:space="preserve"> </w:t>
      </w:r>
      <w:r w:rsidDel="00000000" w:rsidR="00000000" w:rsidRPr="00000000">
        <w:rPr>
          <w:sz w:val="24"/>
          <w:szCs w:val="24"/>
          <w:rtl w:val="0"/>
        </w:rPr>
        <w:t xml:space="preserve">DHCR</w:t>
      </w:r>
      <w:r w:rsidDel="00000000" w:rsidR="00000000" w:rsidRPr="00000000">
        <w:rPr>
          <w:sz w:val="24"/>
          <w:szCs w:val="24"/>
          <w:rtl w:val="0"/>
        </w:rPr>
        <w:t xml:space="preserve"> </w:t>
      </w:r>
      <w:r w:rsidDel="00000000" w:rsidR="00000000" w:rsidRPr="00000000">
        <w:rPr>
          <w:sz w:val="24"/>
          <w:szCs w:val="24"/>
          <w:rtl w:val="0"/>
        </w:rPr>
        <w:t xml:space="preserve">website</w:t>
      </w:r>
      <w:r w:rsidDel="00000000" w:rsidR="00000000" w:rsidRPr="00000000">
        <w:rPr>
          <w:sz w:val="24"/>
          <w:szCs w:val="24"/>
          <w:rtl w:val="0"/>
        </w:rPr>
        <w:t xml:space="preserve">: </w:t>
      </w:r>
      <w:r w:rsidDel="00000000" w:rsidR="00000000" w:rsidRPr="00000000">
        <w:rPr>
          <w:color w:val="0000ff"/>
          <w:sz w:val="24"/>
          <w:szCs w:val="24"/>
          <w:u w:val="single"/>
          <w:rtl w:val="0"/>
        </w:rPr>
        <w:t xml:space="preserve">hcr.ny.gov</w:t>
      </w:r>
    </w:p>
    <w:p w:rsidR="00000000" w:rsidDel="00000000" w:rsidP="00000000" w:rsidRDefault="00000000" w:rsidRPr="00000000" w14:paraId="00000534">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A (All Fields Must Be Completed by the Owner/Owner Representative)</w:t>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36">
      <w:pPr>
        <w:spacing w:before="91" w:lineRule="auto"/>
        <w:ind w:left="300" w:right="0" w:firstLine="0"/>
        <w:jc w:val="left"/>
        <w:rPr>
          <w:b w:val="1"/>
          <w:bCs w:val="1"/>
          <w:sz w:val="22"/>
          <w:szCs w:val="22"/>
        </w:rPr>
      </w:pPr>
      <w:r w:rsidDel="00000000" w:rsidR="00000000" w:rsidRPr="00000000">
        <w:rPr>
          <w:b w:val="1"/>
          <w:bCs w:val="1"/>
          <w:sz w:val="22"/>
          <w:szCs w:val="22"/>
          <w:rtl w:val="0"/>
        </w:rPr>
        <w:t xml:space="preserve">Subject Apartment Address:</w:t>
      </w:r>
    </w:p>
    <w:p w:rsidR="00000000" w:rsidDel="00000000" w:rsidP="00000000" w:rsidRDefault="00000000" w:rsidRPr="00000000" w14:paraId="00000537">
      <w:pPr>
        <w:spacing w:before="105" w:lineRule="auto"/>
        <w:ind w:left="353" w:right="0" w:firstLine="0"/>
        <w:jc w:val="left"/>
        <w:rPr>
          <w:rFonts w:ascii="Arial" w:cs="Arial" w:eastAsia="Arial" w:hAnsi="Arial"/>
          <w:sz w:val="24"/>
          <w:szCs w:val="24"/>
        </w:rPr>
      </w:pPr>
      <w:r>
        <w:rPr>
          <w:rFonts w:ascii="Arial" w:cs="Arial" w:eastAsia="Arial" w:hAnsi="Arial"/>
          <w:sz w:val="24"/>
          <w:szCs w:val="24"/>
          <w:rtl w:val="0"/>
          <w:u w:val="single"/>
        </w:rPr>
        <w:t xml:space="preserve">{{property.address_full}}</w:t>
      </w:r>
    </w:p>
    <w:p w:rsidR="00000000" w:rsidDel="00000000" w:rsidP="00000000" w:rsidRDefault="00000000" w:rsidRPr="00000000" w14:paraId="00000538">
      <w:pPr>
        <w:tabs>
          <w:tab w:val="left" w:leader="none" w:pos="2879"/>
          <w:tab w:val="left" w:leader="none" w:pos="6162"/>
        </w:tabs>
        <w:spacing w:before="0" w:lineRule="auto"/>
        <w:ind w:left="0" w:right="61" w:firstLine="0"/>
        <w:jc w:val="center"/>
        <w:rPr>
          <w:sz w:val="20"/>
          <w:szCs w:val="20"/>
        </w:rPr>
      </w:pPr>
      <w:r w:rsidDel="00000000" w:rsidR="00000000" w:rsidRPr="00000000">
        <w:rPr>
          <w:sz w:val="20"/>
          <w:szCs w:val="20"/>
          <w:rtl w:val="0"/>
        </w:rPr>
        <w:t xml:space="preserve">Number/Street</w:t>
        <w:tab/>
        <w:t xml:space="preserve">Apt. No</w:t>
        <w:tab/>
        <w:t xml:space="preserve">City, State, Zip Code</w:t>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A">
      <w:pPr>
        <w:tabs>
          <w:tab w:val="left" w:leader="none" w:pos="3400"/>
        </w:tabs>
        <w:spacing w:before="0" w:lineRule="auto"/>
        <w:ind w:left="300" w:right="0" w:firstLine="0"/>
        <w:jc w:val="left"/>
        <w:rPr>
          <w:b w:val="1"/>
          <w:bCs w:val="1"/>
          <w:sz w:val="22"/>
          <w:szCs w:val="22"/>
        </w:rPr>
      </w:pPr>
      <w:r w:rsidDel="00000000" w:rsidR="00000000" w:rsidRPr="00000000">
        <w:rPr>
          <w:b w:val="1"/>
          <w:bCs w:val="1"/>
          <w:sz w:val="22"/>
          <w:szCs w:val="22"/>
          <w:rtl w:val="0"/>
        </w:rPr>
        <w:t xml:space="preserve">Lease Offered to Tenant(s):</w:t>
      </w:r>
      <w:r>
        <w:rPr>
          <w:b w:val="1"/>
          <w:bCs w:val="1"/>
          <w:sz w:val="22"/>
          <w:szCs w:val="22"/>
          <w:rtl w:val="0"/>
        </w:rPr>
        <w:tab/>
      </w:r>
      <w:r>
        <w:rPr>
          <w:rFonts w:ascii="Arial" w:cs="Arial" w:eastAsia="Arial" w:hAnsi="Arial"/>
          <w:sz w:val="24"/>
          <w:szCs w:val="24"/>
          <w:rtl w:val="0"/>
          <w:u w:val="single"/>
        </w:rPr>
        <w:t xml:space="preserve">{{tenant.names}}</w:t>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p>
    <w:p w:rsidR="00000000" w:rsidDel="00000000" w:rsidP="00000000" w:rsidRDefault="00000000" w:rsidRPr="00000000" w14:paraId="0000053E">
      <w:pPr>
        <w:tabs>
          <w:tab w:val="left" w:leader="none" w:pos="3400"/>
        </w:tabs>
        <w:spacing w:before="0" w:lineRule="auto"/>
        <w:ind w:left="300" w:right="0" w:firstLine="0"/>
        <w:jc w:val="left"/>
        <w:rPr>
          <w:sz w:val="20"/>
          <w:szCs w:val="20"/>
        </w:rPr>
      </w:pPr>
      <w:r>
        <w:rPr>
          <w:sz w:val="20"/>
          <w:szCs w:val="20"/>
          <w:rtl w:val="0"/>
        </w:rPr>
        <w:tab/>
      </w:r>
      <w:r w:rsidDel="00000000" w:rsidR="00000000" w:rsidRPr="00000000">
        <w:rPr>
          <w:sz w:val="20"/>
          <w:szCs w:val="20"/>
          <w:rtl w:val="0"/>
        </w:rPr>
        <w:t xml:space="preserve">(print name)</w:t>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40">
      <w:pPr>
        <w:pStyle w:val="Heading3"/>
        <w:tabs>
          <w:tab w:val="left" w:leader="none" w:pos="4300"/>
          <w:tab w:val="left" w:leader="none" w:pos="7800"/>
        </w:tabs>
        <w:spacing w:before="92" w:lineRule="auto"/>
        <w:ind w:left="299" w:right="0" w:firstLine="0"/>
        <w:rPr/>
      </w:pPr>
      <w:r w:rsidDel="00000000" w:rsidR="00000000" w:rsidRPr="00000000">
        <w:rPr>
          <w:rtl w:val="0"/>
        </w:rPr>
        <w:t xml:space="preserve">Lease Description: (Please select only one)</w:t>
      </w:r>
      <w:r>
        <w:rPr>
          <w:rtl w:val="0"/>
        </w:rPr>
        <w:tab/>
      </w:r>
      <w:r w:rsidDel="00000000" w:rsidR="00000000" w:rsidRPr="00000000">
        <w:rPr>
          <w:rFonts w:ascii="Arial" w:cs="Arial" w:eastAsia="Arial" w:hAnsi="Arial"/>
          <w:sz w:val="24"/>
          <w:szCs w:val="24"/>
          <w:rtl w:val="0"/>
        </w:rPr>
        <w:t xml:space="preserve">{{dhcr.mark_vacancy}}</w:t>
      </w:r>
      <w:r>
        <w:rPr>
          <w:rtl w:val="0"/>
          <w:u w:val="none"/>
        </w:rPr>
        <w:t xml:space="preserve"> Vacancy lease</w:t>
      </w:r>
      <w:r>
        <w:rPr>
          <w:rtl w:val="0"/>
        </w:rPr>
        <w:tab/>
      </w:r>
      <w:r w:rsidDel="00000000" w:rsidR="00000000" w:rsidRPr="00000000">
        <w:rPr>
          <w:rFonts w:ascii="Arial" w:cs="Arial" w:eastAsia="Arial" w:hAnsi="Arial"/>
          <w:sz w:val="24"/>
          <w:szCs w:val="24"/>
          <w:vertAlign w:val="baseline"/>
          <w:rtl w:val="0"/>
        </w:rPr>
        <w:t xml:space="preserve">{{dhcr.mark_renewal}}</w:t>
      </w:r>
      <w:r>
        <w:rPr>
          <w:rtl w:val="0"/>
          <w:u w:val="none"/>
        </w:rPr>
        <w:t xml:space="preserve"> Renewal lease</w:t>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p>
    <w:p w:rsidR="00000000" w:rsidDel="00000000" w:rsidP="00000000" w:rsidRDefault="00000000" w:rsidRPr="00000000" w14:paraId="00000545">
      <w:pPr>
        <w:pStyle w:val="Heading3"/>
        <w:spacing w:before="91" w:lineRule="auto"/>
        <w:ind w:left="300" w:firstLine="0"/>
        <w:rPr/>
      </w:pPr>
      <w:r w:rsidDel="00000000" w:rsidR="00000000" w:rsidRPr="00000000">
        <w:rPr>
          <w:rtl w:val="0"/>
        </w:rPr>
        <w:t xml:space="preserve">Owner/Owner Representative Contact Information: (Please print)</w:t>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p>
    <w:p w:rsidR="00000000" w:rsidDel="00000000" w:rsidP="00000000" w:rsidRDefault="00000000" w:rsidRPr="00000000" w14:paraId="00000547">
      <w:pPr>
        <w:spacing w:before="184" w:lineRule="auto"/>
        <w:ind w:left="300" w:right="0" w:firstLine="0"/>
        <w:jc w:val="left"/>
        <w:rPr>
          <w:b w:val="1"/>
          <w:bCs w:val="1"/>
          <w:sz w:val="20"/>
          <w:szCs w:val="20"/>
        </w:rPr>
      </w:pPr>
      <w:r>
        <w:rPr>
          <w:b w:val="1"/>
          <w:bCs w:val="1"/>
          <w:sz w:val="20"/>
          <w:szCs w:val="20"/>
          <w:rtl w:val="0"/>
          <w:u w:val="none"/>
        </w:rPr>
        <w:t xml:space="preserve">Name(s): </w:t>
      </w:r>
      <w:r>
        <w:rPr>
          <w:b w:val="1"/>
          <w:bCs w:val="1"/>
          <w:sz w:val="20"/>
          <w:szCs w:val="20"/>
          <w:rtl w:val="0"/>
          <w:u w:val="single"/>
        </w:rPr>
        <w:t xml:space="preserve">{{owner_rep.name}}</w:t>
      </w:r>
      <w:r w:rsidDel="00000000" w:rsidR="00000000" w:rsidRPr="00000000">
        <w:rPr>
          <w:b w:val="1"/>
          <w:bCs w:val="1"/>
          <w:sz w:val="20"/>
          <w:szCs w:val="20"/>
          <w:u w:val="single"/>
          <w:rtl w:val="0"/>
        </w:rPr>
        <w:t xml:space="preserve"/>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A">
      <w:pPr>
        <w:spacing w:before="0"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{{owner_rep.email}}</w:t>
      </w:r>
      <w:r w:rsidDel="00000000" w:rsidR="00000000" w:rsidRPr="00000000">
        <w:rPr>
          <w:b w:val="1"/>
          <w:bCs w:val="1"/>
          <w:sz w:val="20"/>
          <w:szCs w:val="20"/>
          <w:u w:val="single"/>
          <w:rtl w:val="0"/>
        </w:rPr>
        <w:t xml:space="preserve"/>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1"/>
          <w:bCs w:val="1"/>
          <w:i w:val="0"/>
          <w:iCs w:val="0"/>
          <w:smallCaps w:val="0"/>
          <w:strike w:val="0"/>
          <w:color w:val="000000"/>
          <w:sz w:val="19"/>
          <w:szCs w:val="19"/>
          <w:u w:val="none"/>
          <w:vertAlign w:val="baseline"/>
        </w:rPr>
      </w:pPr>
    </w:p>
    <w:p w:rsidR="00000000" w:rsidDel="00000000" w:rsidP="00000000" w:rsidRDefault="00000000" w:rsidRPr="00000000" w14:paraId="0000054D">
      <w:pPr>
        <w:spacing w:before="0" w:lineRule="auto"/>
        <w:ind w:left="300" w:right="0" w:firstLine="0"/>
        <w:jc w:val="left"/>
        <w:rPr>
          <w:b w:val="1"/>
          <w:bCs w:val="1"/>
          <w:sz w:val="20"/>
          <w:szCs w:val="20"/>
        </w:rPr>
      </w:pPr>
      <w:r>
        <w:rPr>
          <w:b w:val="1"/>
          <w:bCs w:val="1"/>
          <w:sz w:val="20"/>
          <w:szCs w:val="20"/>
          <w:rtl w:val="0"/>
          <w:u w:val="none"/>
        </w:rPr>
        <w:t xml:space="preserve">Mailing Address: </w:t>
      </w:r>
      <w:r>
        <w:rPr>
          <w:b w:val="1"/>
          <w:bCs w:val="1"/>
          <w:sz w:val="20"/>
          <w:szCs w:val="20"/>
          <w:rtl w:val="0"/>
          <w:u w:val="single"/>
        </w:rPr>
        <w:t xml:space="preserve">{{owner_rep.mailing_address}}</w:t>
      </w:r>
      <w:r w:rsidDel="00000000" w:rsidR="00000000" w:rsidRPr="00000000">
        <w:rPr>
          <w:b w:val="1"/>
          <w:bCs w:val="1"/>
          <w:sz w:val="20"/>
          <w:szCs w:val="20"/>
          <w:u w:val="single"/>
          <w:rtl w:val="0"/>
        </w:rPr>
        <w:t xml:space="preserve"/>
      </w:r>
    </w:p>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Owner/Owner Representative Signature(s)</w:t>
            </w:r>
          </w:p>
        </w:tc>
      </w:tr>
    </w:tbl>
    <w:p w:rsidR="00000000" w:rsidDel="00000000" w:rsidP="00000000" w:rsidRDefault="00000000" w:rsidRPr="00000000" w14:paraId="00000551">
      <w:pPr>
        <w:spacing w:before="0" w:after="0" w:line="20" w:lineRule="exact"/>
        <w:ind w:left="0" w:right="0" w:firstLine="0"/>
        <w:jc w:val="left"/>
        <w:rPr>
          <w:b w:val="1"/>
          <w:bCs w:val="1"/>
          <w:sz w:val="20"/>
          <w:szCs w:val="20"/>
        </w:rPr>
      </w:pPr>
    </w:p>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vertAlign w:val="baseline"/>
        </w:rPr>
      </w:pPr>
    </w:p>
    <w:p w:rsidR="00000000" w:rsidDel="00000000" w:rsidP="00000000" w:rsidRDefault="00000000" w:rsidRPr="00000000" w14:paraId="00000553">
      <w:pPr>
        <w:keepNext w:val="0"/>
        <w:keepLines w:val="0"/>
        <w:pageBreakBefore w:val="0"/>
        <w:widowControl w:val="0"/>
        <w:pBdr>
          <w:top w:val="single" w:sz="4" w:space="0" w:color="000000"/>
          <w:left w:val="single" w:sz="4" w:space="0" w:color="000000"/>
          <w:bottom w:val="single" w:sz="4" w:space="0" w:color="000000"/>
          <w:right w:val="single" w:sz="4" w:space="0" w:color="000000"/>
        </w:pBdr>
        <w:shd w:fill="auto" w:val="clear"/>
        <w:spacing w:before="120" w:after="120" w:line="240" w:lineRule="auto"/>
        <w:ind w:left="500" w:right="50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SECTION B (All Fields Must Be Completed by the Tenant)</w:t>
      </w:r>
    </w:p>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27"/>
          <w:szCs w:val="27"/>
          <w:u w:val="none"/>
          <w:shd w:fill="auto" w:val="clear"/>
          <w:vertAlign w:val="baseline"/>
        </w:rPr>
      </w:pPr>
    </w:p>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25"/>
          <w:szCs w:val="25"/>
          <w:u w:val="none"/>
          <w:shd w:fill="auto" w:val="clear"/>
          <w:vertAlign w:val="baseline"/>
        </w:rPr>
      </w:pPr>
    </w:p>
    <w:p w:rsidR="00000000" w:rsidDel="00000000" w:rsidP="00000000" w:rsidRDefault="00000000" w:rsidRPr="00000000" w14:paraId="00000556">
      <w:pPr>
        <w:pStyle w:val="Heading3"/>
        <w:ind w:left="300" w:firstLine="0"/>
        <w:rPr/>
      </w:pPr>
      <w:r w:rsidDel="00000000" w:rsidR="00000000" w:rsidRPr="00000000">
        <w:rPr>
          <w:rtl w:val="0"/>
        </w:rPr>
        <w:t xml:space="preserve">Tenant Contact Information: (Please print)</w:t>
      </w:r>
    </w:p>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p>
    <w:p w:rsidR="00000000" w:rsidDel="00000000" w:rsidP="00000000" w:rsidRDefault="00000000" w:rsidRPr="00000000" w14:paraId="00000558">
      <w:pPr>
        <w:spacing w:before="0" w:lineRule="auto"/>
        <w:ind w:left="300" w:right="0" w:firstLine="0"/>
        <w:jc w:val="left"/>
        <w:rPr>
          <w:rFonts w:ascii="Arial" w:cs="Arial" w:eastAsia="Arial" w:hAnsi="Arial"/>
          <w:sz w:val="24"/>
          <w:szCs w:val="24"/>
        </w:rPr>
      </w:pPr>
      <w:r>
        <w:rPr>
          <w:b w:val="1"/>
          <w:bCs w:val="1"/>
          <w:sz w:val="20"/>
          <w:szCs w:val="20"/>
          <w:rtl w:val="0"/>
          <w:u w:val="none"/>
        </w:rPr>
        <w:t xml:space="preserve">Name(s): </w:t>
      </w:r>
      <w:r>
        <w:rPr>
          <w:b w:val="1"/>
          <w:bCs w:val="1"/>
          <w:sz w:val="20"/>
          <w:szCs w:val="20"/>
          <w:rtl w:val="0"/>
          <w:u w:val="single"/>
        </w:rPr>
        <w:t xml:space="preserve">{{tenant.names}}</w:t>
      </w:r>
    </w:p>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vertAlign w:val="baseline"/>
        </w:rPr>
      </w:pPr>
    </w:p>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0"/>
          <w:bCs w:val="0"/>
          <w:i w:val="0"/>
          <w:iCs w:val="0"/>
          <w:smallCaps w:val="0"/>
          <w:strike w:val="0"/>
          <w:color w:val="000000"/>
          <w:sz w:val="22"/>
          <w:szCs w:val="22"/>
          <w:u w:val="none"/>
          <w:vertAlign w:val="baseline"/>
        </w:rPr>
      </w:pPr>
    </w:p>
    <w:p w:rsidR="00000000" w:rsidDel="00000000" w:rsidP="00000000" w:rsidRDefault="00000000" w:rsidRPr="00000000" w14:paraId="0000055C">
      <w:pPr>
        <w:spacing w:before="1" w:lineRule="auto"/>
        <w:ind w:left="300" w:right="0" w:firstLine="0"/>
        <w:jc w:val="left"/>
        <w:rPr>
          <w:b w:val="1"/>
          <w:bCs w:val="1"/>
          <w:sz w:val="20"/>
          <w:szCs w:val="20"/>
        </w:rPr>
      </w:pPr>
      <w:r>
        <w:rPr>
          <w:b w:val="1"/>
          <w:bCs w:val="1"/>
          <w:sz w:val="20"/>
          <w:szCs w:val="20"/>
          <w:rtl w:val="0"/>
          <w:u w:val="none"/>
        </w:rPr>
        <w:t xml:space="preserve">Email Address: </w:t>
      </w:r>
      <w:r>
        <w:rPr>
          <w:b w:val="1"/>
          <w:bCs w:val="1"/>
          <w:sz w:val="20"/>
          <w:szCs w:val="20"/>
          <w:rtl w:val="0"/>
          <w:u w:val="single"/>
        </w:rPr>
        <w:t xml:space="preserve">{{tenant.email}}</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8"/>
          <w:szCs w:val="8"/>
          <w:u w:val="none"/>
          <w:vertAlign w:val="baseline"/>
        </w:rPr>
      </w:pP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0"/>
          <w:bCs w:val="0"/>
          <w:i w:val="0"/>
          <w:iCs w:val="0"/>
          <w:smallCaps w:val="0"/>
          <w:strike w:val="0"/>
          <w:color w:val="000000"/>
          <w:sz w:val="20"/>
          <w:szCs w:val="20"/>
          <w:u w:val="none"/>
          <w:vertAlign w:val="baseline"/>
        </w:rPr>
      </w:pPr>
    </w:p>
    <w:p w:rsidR="00000000" w:rsidDel="00000000" w:rsidP="00000000" w:rsidRDefault="00000000" w:rsidRPr="00000000" w14:paraId="00000562">
      <w:pPr>
        <w:spacing w:before="0" w:lineRule="auto"/>
        <w:ind w:left="300" w:right="0" w:firstLine="0"/>
        <w:jc w:val="left"/>
        <w:rPr>
          <w:b w:val="1"/>
          <w:bCs w:val="1"/>
          <w:sz w:val="20"/>
          <w:szCs w:val="20"/>
        </w:rPr>
      </w:pPr>
      <w:r w:rsidDel="00000000" w:rsidR="00000000" w:rsidRPr="00000000">
        <w:rPr>
          <w:b w:val="1"/>
          <w:bCs w:val="1"/>
          <w:sz w:val="20"/>
          <w:szCs w:val="20"/>
          <w:rtl w:val="0"/>
        </w:rPr>
        <w:t xml:space="preserve">Mailing Address: </w:t>
      </w:r>
      <w:r>
        <w:rPr>
          <w:b w:val="1"/>
          <w:bCs w:val="1"/>
          <w:sz w:val="20"/>
          <w:szCs w:val="20"/>
          <w:rtl w:val="0"/>
          <w:u w:val="single"/>
        </w:rPr>
        <w:t xml:space="preserve">{{tenant.mailing_address}}</w:t>
      </w:r>
    </w:p>
    <w:p w:rsidR="00000000" w:rsidDel="00000000" w:rsidP="00000000" w:rsidRDefault="00000000" w:rsidRPr="00000000" w14:paraId="00000563">
      <w:pPr>
        <w:spacing w:before="0" w:lineRule="auto"/>
        <w:ind w:left="3157" w:right="2616" w:firstLine="0"/>
        <w:jc w:val="center"/>
        <w:rPr>
          <w:sz w:val="18"/>
          <w:szCs w:val="18"/>
        </w:rPr>
      </w:pPr>
      <w:r w:rsidDel="00000000" w:rsidR="00000000" w:rsidRPr="00000000">
        <w:rPr>
          <w:sz w:val="18"/>
          <w:szCs w:val="18"/>
          <w:rtl w:val="0"/>
        </w:rPr>
        <w:t xml:space="preserve">(If different from subject apartment address)</w:t>
      </w:r>
    </w:p>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19"/>
          <w:szCs w:val="19"/>
          <w:u w:val="none"/>
          <w:shd w:fill="auto" w:val="clear"/>
          <w:vertAlign w:val="baseline"/>
        </w:rPr>
      </w:pPr>
    </w:p>
    <w:p w:rsidR="00000000" w:rsidDel="00000000" w:rsidP="00000000" w:rsidRDefault="00000000" w:rsidRPr="00000000" w14:paraId="00000566">
      <w:pPr>
        <w:pStyle w:val="Heading2"/>
        <w:spacing w:before="1" w:lineRule="auto"/>
        <w:ind w:left="3154" w:right="3155" w:firstLine="0"/>
        <w:rPr/>
      </w:pPr>
      <w:r w:rsidDel="00000000" w:rsidR="00000000" w:rsidRPr="00000000">
        <w:rPr>
          <w:u w:val="single"/>
          <w:rtl w:val="0"/>
        </w:rPr>
        <w:t xml:space="preserve">Tenant’s Statement of Consent</w:t>
      </w:r>
    </w:p>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p>
    <w:p w:rsidR="00000000" w:rsidDel="00000000" w:rsidP="00000000" w:rsidRDefault="00000000" w:rsidRPr="00000000" w14:paraId="00000568">
      <w:pPr>
        <w:spacing w:before="90" w:lineRule="auto"/>
        <w:ind w:left="300" w:right="0" w:firstLine="0"/>
        <w:jc w:val="left"/>
        <w:rPr>
          <w:b w:val="1"/>
          <w:bCs w:val="1"/>
          <w:sz w:val="24"/>
          <w:szCs w:val="24"/>
        </w:rPr>
      </w:pPr>
      <w:r w:rsidDel="00000000" w:rsidR="00000000" w:rsidRPr="00000000">
        <w:rPr>
          <w:b w:val="1"/>
          <w:bCs w:val="1"/>
          <w:sz w:val="24"/>
          <w:szCs w:val="24"/>
          <w:rtl w:val="0"/>
        </w:rPr>
        <w:t xml:space="preserve">I hereby affirm that I have read this notice and voluntarily consent to an electronic lease offering and execution by the owner of the subject building and apartment.</w:t>
      </w:r>
    </w:p>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single"/>
              </w:rPr>
              <w:t xml:space="preserve">{{tenant.names}}</w:t>
            </w:r>
          </w:p>
        </w:tc>
      </w:tr>
      <w:tr>
        <w:tc>
          <w:tcPr>
            <w:tcW w:w="4868" w:type="dxa"/>
          </w:tcPr>
          <w:p>
            <w:pPr>
              <w:ind w:left="0" w:right="0" w:firstLine="0"/>
              <w:jc w:val="center"/>
              <w:rPr>
                <w:b w:val="1"/>
                <w:bCs w:val="1"/>
                <w:sz w:val="20"/>
                <w:szCs w:val="20"/>
                <w:rtl w:val="0"/>
              </w:rPr>
            </w:pPr>
          </w:p>
        </w:tc>
        <w:tc>
          <w:tcPr>
            <w:tcW w:w="6232" w:type="dxa"/>
          </w:tcPr>
          <w:p>
            <w:pPr>
              <w:ind w:left="0" w:right="0" w:firstLine="0"/>
              <w:jc w:val="center"/>
              <w:rPr>
                <w:b w:val="1"/>
                <w:bCs w:val="1"/>
                <w:sz w:val="20"/>
                <w:szCs w:val="20"/>
                <w:rtl w:val="0"/>
              </w:rPr>
            </w:pPr>
            <w:r>
              <w:rPr>
                <w:b w:val="1"/>
                <w:bCs w:val="1"/>
                <w:sz w:val="20"/>
                <w:szCs w:val="20"/>
                <w:rtl w:val="0"/>
                <w:u w:val="none"/>
              </w:rPr>
              <w:t xml:space="preserve">Printed Tenant name(s)</w:t>
            </w:r>
          </w:p>
        </w:tc>
      </w:tr>
    </w:tbl>
    <w:p w:rsidR="00000000" w:rsidDel="00000000" w:rsidP="00000000" w:rsidRDefault="00000000" w:rsidRPr="00000000" w14:paraId="0000056B">
      <w:pPr>
        <w:spacing w:before="0" w:after="0" w:line="20" w:lineRule="exact"/>
        <w:ind w:left="0" w:right="0" w:firstLine="0"/>
        <w:jc w:val="left"/>
        <w:rPr>
          <w:b w:val="1"/>
          <w:bCs w:val="1"/>
          <w:sz w:val="20"/>
          <w:szCs w:val="20"/>
        </w:rPr>
      </w:pPr>
    </w:p>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p>
    <w:tbl>
      <w:tblPr>
        <w:tblW w:w="11100" w:type="dxa"/>
        <w:tblInd w:w="300"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4868"/>
        <w:gridCol w:w="6232"/>
      </w:tblGrid>
      <w:tr>
        <w:tc>
          <w:tcPr>
            <w:tcW w:w="4868" w:type="dxa"/>
          </w:tcPr>
          <w:p>
            <w:pPr>
              <w:pBdr>
                <w:bottom w:val="single" w:sz="6" w:space="0" w:color="000000"/>
              </w:pBdr>
              <w:ind w:left="0" w:right="160" w:firstLine="0"/>
              <w:jc w:val="center"/>
              <w:rPr>
                <w:b w:val="1"/>
                <w:bCs w:val="1"/>
                <w:sz w:val="20"/>
                <w:szCs w:val="20"/>
                <w:rtl w:val="0"/>
              </w:rPr>
            </w:pPr>
          </w:p>
        </w:tc>
        <w:tc>
          <w:tcPr>
            <w:tcW w:w="6232" w:type="dxa"/>
          </w:tcPr>
          <w:p>
            <w:pPr>
              <w:pBdr>
                <w:bottom w:val="single" w:sz="6" w:space="0" w:color="000000"/>
              </w:pBdr>
              <w:ind w:left="0" w:right="0" w:firstLine="0"/>
              <w:jc w:val="center"/>
              <w:rPr>
                <w:b w:val="1"/>
                <w:bCs w:val="1"/>
                <w:sz w:val="20"/>
                <w:szCs w:val="20"/>
                <w:rtl w:val="0"/>
              </w:rPr>
            </w:pPr>
          </w:p>
        </w:tc>
      </w:tr>
      <w:tr>
        <w:tc>
          <w:tcPr>
            <w:tcW w:w="4868" w:type="dxa"/>
          </w:tcPr>
          <w:p>
            <w:pPr>
              <w:ind w:left="0" w:right="0" w:firstLine="0"/>
              <w:jc w:val="center"/>
              <w:rPr>
                <w:b w:val="1"/>
                <w:bCs w:val="1"/>
                <w:sz w:val="20"/>
                <w:szCs w:val="20"/>
                <w:rtl w:val="0"/>
              </w:rPr>
            </w:pPr>
            <w:r>
              <w:rPr>
                <w:b w:val="1"/>
                <w:bCs w:val="1"/>
                <w:sz w:val="20"/>
                <w:szCs w:val="20"/>
                <w:rtl w:val="0"/>
                <w:u w:val="none"/>
              </w:rPr>
              <w:t xml:space="preserve">Date</w:t>
            </w:r>
          </w:p>
        </w:tc>
        <w:tc>
          <w:tcPr>
            <w:tcW w:w="6232" w:type="dxa"/>
          </w:tcPr>
          <w:p>
            <w:pPr>
              <w:ind w:left="0" w:right="0" w:firstLine="0"/>
              <w:jc w:val="center"/>
              <w:rPr>
                <w:b w:val="1"/>
                <w:bCs w:val="1"/>
                <w:sz w:val="20"/>
                <w:szCs w:val="20"/>
                <w:rtl w:val="0"/>
              </w:rPr>
            </w:pPr>
            <w:r>
              <w:rPr>
                <w:b w:val="1"/>
                <w:bCs w:val="1"/>
                <w:sz w:val="20"/>
                <w:szCs w:val="20"/>
                <w:rtl w:val="0"/>
                <w:u w:val="none"/>
              </w:rPr>
              <w:t xml:space="preserve">Tenant Signature(s) (Ink or Electronic)</w:t>
            </w:r>
          </w:p>
        </w:tc>
      </w:tr>
    </w:tbl>
    <w:p w:rsidR="00000000" w:rsidDel="00000000" w:rsidP="00000000" w:rsidRDefault="00000000" w:rsidRPr="00000000" w14:paraId="00000570">
      <w:pPr>
        <w:spacing w:before="0" w:after="0" w:line="20" w:lineRule="exact"/>
        <w:ind w:left="0" w:right="0" w:firstLine="0"/>
        <w:jc w:val="left"/>
        <w:rPr>
          <w:b w:val="1"/>
          <w:bCs w:val="1"/>
          <w:sz w:val="20"/>
          <w:szCs w:val="20"/>
        </w:rPr>
        <w:sectPr>
          <w:footerReference r:id="rId37" w:type="default"/>
          <w:type w:val="nextPage"/>
          <w:pgSz w:h="15840" w:w="12240" w:orient="portrait"/>
          <w:pgMar w:bottom="660" w:top="700" w:left="420" w:right="420" w:header="360" w:footer="360"/>
        </w:sectPr>
      </w:pPr>
    </w:p>
    <w:p w:rsidR="00000000" w:rsidDel="00000000" w:rsidP="00000000" w:rsidRDefault="00000000" w:rsidRPr="00000000" w14:paraId="00000571">
      <w:pPr>
        <w:pStyle w:val="Heading3"/>
        <w:spacing w:before="68" w:lineRule="auto"/>
        <w:ind w:left="2613" w:right="2052" w:hanging="318.0000000000001"/>
        <w:rPr/>
      </w:pPr>
      <w:r w:rsidDel="00000000" w:rsidR="00000000" w:rsidRPr="00000000">
        <w:rPr>
          <w:rtl w:val="0"/>
        </w:rPr>
        <w:t xml:space="preserve">NOTICE TO TENANT OF APPLICABILITY OR INAPPLICABILITY OF THE NEW YORK STATE GOOD CAUSE EVICTION LAW</w:t>
      </w:r>
    </w:p>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p>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notice from your landlord serves to inform you of whether or not your unit/apartment/home is covered by the New York State Good Cause Eviction Law (Article 6-A of the Real Property Law) and, if applicable, the reason permitted under the New York State Good Cause Eviction Law that your landlord is not renewing your lease. Even if your apartment is not protected by Article 6-A, known as the New York State Good Cause Eviction Law, you may have other rights under other local, state, or federal laws and regulations concerning rents and evictions. This notice, which your landlord is required to fill out and give to you, does not constitute legal advice. You may wish to consult a lawyer if you have any questions about your rights under the New York State Good Cause Eviction Law or about this notice.</w:t>
      </w:r>
    </w:p>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sending of this notice does not vitiate any prior litigation notices or pleading served upon you, nor does the sending of this notice serve to revive or reinstate any previously terminated tenancy. The word “tenant” as recited in the notice is solely for identification purposes and not a statement of legal status. No admissions or concessions of an owner right or remedy may be construed from the text or sending of this notice.</w:t>
      </w:r>
    </w:p>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NOTICE (THIS SHOULD BE FILLED OUT BY YOUR LANDLORD)</w:t>
      </w:r>
    </w:p>
    <w:p>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INFORMATION</w:t>
      </w:r>
    </w:p>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STREET: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{{property.street}}</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UNIT OR APARTMENT NUMBER: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{{property.unit}}</w:t>
      </w:r>
    </w:p>
    <w:p>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600"/>
          <w:tab w:val="left" w:leader="none" w:pos="8000"/>
        </w:tabs>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CITY/TOWN/VILLAGE: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{{property.city}}</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STATE: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{{property.state}}</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ZIP CODE: </w:t>
      </w:r>
      <w:r>
        <w:rPr>
          <w:rFonts w:ascii="Times New Roman" w:cs="Times New Roman" w:eastAsia="Times New Roman" w:hAnsi="Times New Roman"/>
          <w:b w:val="0"/>
          <w:bCs w:val="0"/>
          <w:i w:val="0"/>
          <w:iCs w:val="0"/>
          <w:smallCaps w:val="0"/>
          <w:strike w:val="0"/>
          <w:color w:val="000000"/>
          <w:sz w:val="22"/>
          <w:szCs w:val="22"/>
          <w:u w:val="single"/>
          <w:vertAlign w:val="baseline"/>
          <w:rtl w:val="0"/>
        </w:rPr>
        <w:t xml:space="preserve">{{property.zip}}</w:t>
      </w:r>
    </w:p>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5"/>
          <w:szCs w:val="15"/>
          <w:u w:val="none"/>
          <w:shd w:fill="auto" w:val="clear"/>
          <w:vertAlign w:val="baseline"/>
        </w:rPr>
      </w:pPr>
    </w:p>
    <w:p w:rsidR="00000000" w:rsidDel="00000000" w:rsidP="00000000" w:rsidRDefault="00000000" w:rsidRPr="00000000" w14:paraId="0000058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3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 THIS UNIT SUBJECT TO ARTICLE 6-A OF THE REAL PROPERTY LAW, KNOWN AS THE NEW YORK STATE GOOD CAUSE EVICTION LAW? (PLEASE MARK APPLICABLE ANSWER)</w:t>
      </w:r>
    </w:p>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Times New Roman" w:cs="Times New Roman" w:eastAsia="Times New Roman" w:hAnsi="Times New Roman"/>
          <w:b w:val="0"/>
          <w:bCs w:val="0"/>
          <w:i w:val="0"/>
          <w:iCs w:val="0"/>
          <w:smallCaps w:val="0"/>
          <w:strike w:val="0"/>
          <w:color w:val="000000"/>
          <w:sz w:val="31"/>
          <w:szCs w:val="31"/>
          <w:u w:val="none"/>
          <w:shd w:fill="auto" w:val="clear"/>
          <w:vertAlign w:val="baseline"/>
        </w:rPr>
      </w:pPr>
    </w:p>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YES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{{good_cause.mark_yes}} </w:t>
      </w:r>
    </w:p>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567"/>
        </w:tabs>
        <w:spacing w:after="115" w:before="86" w:line="240" w:lineRule="auto"/>
        <w:ind w:left="58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w:t>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{{good_cause.mark_no}} </w:t>
      </w:r>
    </w:p>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13"/>
          <w:szCs w:val="13"/>
          <w:u w:val="none"/>
          <w:shd w:fill="auto" w:val="clear"/>
          <w:vertAlign w:val="baseline"/>
        </w:rPr>
      </w:pPr>
    </w:p>
    <w:p w:rsidR="00000000" w:rsidDel="00000000" w:rsidP="00000000" w:rsidRDefault="00000000" w:rsidRPr="00000000" w14:paraId="0000058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4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THE UNIT IS EXEMPT FROM ARTICLE 6-A OF THE REAL PROPERTY LAW, KNOWN AS THE NEW YORK STATE GOOD CAUSE EVICTION LAW, WHY IS IT EXEMPT FROM THAT LAW? (PLEASE MARK ALL APPLICABLE EXEMPTIONS)</w:t>
      </w:r>
    </w:p>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8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Village/Town/City outside of New York City has not adopted good cause eviction under section 213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{{good_cause.exempt_not_adopted}}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owned by a "small landlord," as defined in subdivision 3 of section 211 of the Real Property Law, who owns no more than 10 units for small landlords located in New York City or the number of units established as the</w:t>
      </w:r>
    </w:p>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588" w:right="587"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maximum amount a "small landlord" can own in the state by a local law of a village, town, or city, other than New York City, adopting the provisions of Article 6-A of the Real Property Law, known as the New York State Good Cause Eviction Law, or no more than 10 units, as applicable. In connection with any eviction proceeding in which the landlord claims an exemption from the provisions of Article 6-A of the Real Property Law, known as the New York State Good Cause Eviction Law, on the basis of being a small landlord, the landlord shall provide to the tenant or tenants subject to the proceeding the name of each natural person who owns or is a beneficial owner of, directly or indirectly, in whole or in part, the housing accommodation at issue in the proceeding, the number of units owned, jointly or separately, by each such natural person owner, and the addresses of any such units, excluding each natural person owner's principal residence. If the landlord is an entity, organized under the laws of this state or of any other jurisdiction, then such landlord shall provide to the tenant or tenants subject to the proceeding the name of each natural person with a direct or indirect ownership interest in such entity or any affiliated entity, the number of units owned, jointly or separately, by each such natural person owner, and the addresses of any such units, excluding each natural person owner's principal residence (exemption under subdivision 1 of section 214 of the Real Property Law)</w:t>
      </w:r>
    </w:p>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{{good_cause.exempt_small_landlord}}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5"/>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located in an owner-occupied housing accommodation with no more than 10 units (exemption under subdivision 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{{good_cause.exempt_owner_occupied}}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8"/>
          <w:tab w:val="left" w:leader="none" w:pos="6117"/>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subject to regulation of rents or evictions pursuant to local, state, or federal law (exemption under subdivision 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{{good_cause.exempt_rent_regulated}}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must be affordable to tenants at a specific income level pursuant to statute, regulation, restrictive declaration, or pursuant to a regulatory agreement with a local, state, or federal government entity (exemption under subdivision 6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{{good_cause.exempt_income_restricted}}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6"/>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on or within a housing accommodation owned as a condominium or cooperative, or unit is on or within a housing accommodation subject to an offering plan submitted to the office of the attorney general (exemption under subdivision 7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{{good_cause.exempt_condo_coop}}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7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housing accommodation that was issued a temporary or permanent certificate of occupancy within the past 30 years (only if building received the certificate on or after January 1st, 2009) (exemption under subdivision 8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{{good_cause.exempt_new_construction}}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9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2"/>
          <w:tab w:val="left" w:leader="none" w:pos="7730"/>
        </w:tabs>
        <w:spacing w:after="0" w:before="9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seasonal use dwelling unit under subdivisions 4 and 5 of section 7-108 of the General Obligations Law (exemption under subdivision 9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{{good_cause.exempt_seasonal}}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9"/>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in a hospital as defined in subdivision 1 of section 2801 of the Public Health Law, continuing care retirement community licensed pursuant to Article 46 or 46-A of the Public Health Law, assisted living residence licensed pursuant to Article 46-B of the Public Health Law, adult care facility licensed pursuant to Article 7 of the Social Services Law, senior residential community that has submitted an offering plan to the attorney general, or not-for-profit independent retirement community that offers personal emergency response, housekeeping, transportation and meals to their residents (exemption under subdivision 10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{{good_cause.exempt_institutional}}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02"/>
          <w:tab w:val="left" w:leader="none" w:pos="9098"/>
        </w:tabs>
        <w:spacing w:after="0" w:before="91" w:line="240" w:lineRule="auto"/>
        <w:ind w:left="588" w:right="587"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manufactured home located on or in a manufactured home park as defined in section 233 of the Real Property Law (exemption under subdivision 11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{{good_cause.exempt_manufactured_home}}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hotel room or other transient use covered by the definition of a class B multiple dwelling under subdivision 9 of section 4 of the Multiple Dwelling Law (exemption under subdivision 12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{{good_cause.exempt_hotel_transient}}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6"/>
          <w:tab w:val="left" w:leader="none" w:pos="6227"/>
        </w:tabs>
        <w:spacing w:after="0" w:before="91" w:line="240" w:lineRule="auto"/>
        <w:ind w:left="588" w:right="586" w:firstLine="0"/>
        <w:jc w:val="left"/>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a dormitory owned and operated by an institution of higher education or a school (exemption under subdivision 13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{{good_cause.exempt_dormitory}}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97"/>
          <w:tab w:val="left" w:leader="none" w:pos="3340"/>
        </w:tabs>
        <w:spacing w:after="0" w:before="61"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is within and for use by a religious facility or institution (exemption under subdivision 14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{{good_cause.exempt_religious}}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3"/>
        </w:tabs>
        <w:spacing w:after="0" w:before="9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Unit has a monthly rent that is greater than the percent of fair market rent established in a local law of a village, town, or city, other than New York City, adopting the provisions of Article 6-A of the Real Property Law, known as the New York Good Cause Eviction Law, or 245 percent of the fair market rent, as applicable. Fair market rent refers to the figure published by the United States Department of Housing and Urban Development, for the county in which the housing accommodation is located, as shall be published by the Division of Housing and Community Renewal no later than August 1st in any given year. The Division of Housing and Community Renewal shall publish the fair market rent and 245 percent of the fair market rent for each unit type for which such fair market rent is published by the United States Department of Housing and Urban Development for each county in New York State in the annual publication required pursuant to subdivision 7 of section 211 of the Real Property Law (exemption under subdivision 15 of section 214 of the Real Property Law)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{{good_cause.exempt_high_rent}}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14"/>
          <w:szCs w:val="14"/>
          <w:u w:val="none"/>
          <w:shd w:fill="auto" w:val="clear"/>
          <w:vertAlign w:val="baseline"/>
        </w:rPr>
      </w:pPr>
    </w:p>
    <w:p w:rsidR="00000000" w:rsidDel="00000000" w:rsidP="00000000" w:rsidRDefault="00000000" w:rsidRPr="00000000" w14:paraId="000005A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91" w:line="240" w:lineRule="auto"/>
        <w:ind w:left="587"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INCREASING THE RENT ABOVE THE THRESHOLD FOR PRESUMPTIVELY UNREASONABLE RENT INCREASES, WHAT IS THE LANDLORD'S JUSTIFICATION FOR INCREASING THE RENT ABOVE THE THRESHOLD FOR PRESUMPTIVELY UNREASONABLE RENT INCREASES?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(PLEASE MARK AND FILL OUT THE APPLICABLE RESPONSE)</w:t>
      </w:r>
    </w:p>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9"/>
          <w:tab w:val="left" w:leader="none" w:pos="1778"/>
        </w:tabs>
        <w:spacing w:after="0" w:before="0" w:line="240" w:lineRule="auto"/>
        <w:ind w:left="588" w:right="586" w:firstLine="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not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{{good_cause.increase_below_threshold}}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A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7"/>
        </w:tabs>
        <w:spacing w:after="0" w:before="0" w:line="240" w:lineRule="auto"/>
        <w:ind w:left="856" w:right="0" w:hanging="269"/>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rent is being increased above the threshold for presumptively unreasonable rent increases described above: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{{good_cause.increase_above_threshold}}</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8" w:right="408"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B-1: If the rent is being increased above the threshold for presumptively unreasonable rent increases described above, what is the justification for the increase: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single"/>
        </w:rPr>
        <w:t xml:space="preserve">{{good_cause.increase_justification}}</w:t>
      </w:r>
    </w:p>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B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IF THIS UNIT IS SUBJECT TO ARTICLE 6-A OF THE REAL PROPERTY LAW, KNOWN AS THE NEW YORK STATE GOOD CAUSE EVICTION LAW, AND THIS NOTICE SERVES TO INFORM A TENANT THAT THE LANDLORD IS NOT RENEWING A LEASE, WHAT IS THE GOOD CAUSE FOR NOT RENEWING THE LEASE? (PLEASE MARK ALL APPLICABLE REASONS)</w:t>
      </w:r>
    </w:p>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unit is exempt from Article 6-A of the Real Property Law, known as the New York State Good Cause Eviction Law, for the reasons stated in response to question 2, above (IF THIS ANSWER IS CHECKED, NO OTHER ANSWERS TO THIS QUESTION SHOULD BE CHECKED):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{{good_cause.nonrenewal_exempt}}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91"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1083" w:left="420" w:right="420" w:header="0" w:footer="177"/>
        </w:sectPr>
      </w:pP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tenant is receiving this notice in connection with a first lease or a renewal lease, so the landlord does not need to check any of the lawful reasons listed below for not renewing a lease under Article 6-A of the Real Property Law, known as the New York State Good Cause Eviction Law (IF THIS ANSWER IS CHECKED, NO OTHER ANSWERS TO THIS QUESTION SHOULD BE CHECKED)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{{good_cause.nonrenewal_first_or_renewal}} </w:t>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r>
    </w:p>
    <w:p w:rsidR="00000000" w:rsidDel="00000000" w:rsidP="00000000" w:rsidRDefault="00000000" w:rsidRPr="00000000" w14:paraId="000005B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1"/>
        </w:tabs>
        <w:spacing w:after="0" w:before="68"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unit is sublet and the sublessor seeks in good faith to recover possession of the unit for their own personal use and occupancy (exemption under subdivision 3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{{good_cause.nonrenewal_sublet}}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B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5"/>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possession, use or occupancy of the unit is solely incident to employment and the employment is being or has been lawfully terminated (exemption under subdivision 4 of section 214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{{good_cause.nonrenewal_employment}}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41"/>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pay rent due and owing, and the rent due or owing, or any part thereof, did not result from a rent increase which is unreasonable.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not later than August 1st of each year by the Division of Housing and Community Renewal; or (b) 10 percent (good cause for eviction under paragraph a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{{good_cause.nonrenewal_unpaid_rent}}</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9"/>
        </w:tabs>
        <w:spacing w:after="0" w:before="0" w:line="240" w:lineRule="auto"/>
        <w:ind w:left="588" w:right="587"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violating a substantial obligation of their tenancy or breaching any of the landlord's rules and regulations governing the premises, other than the obligation to surrender possession of the premises, and the tenant has failed to cure the violation after written notice that the violation must cease within 10 days of receipt of the written notice. For this good cause to apply, the obligation the tenant violated cannot be an obligation that was imposed for the purpose of circumventing the intent of Article 6-A of the Real Property Law, known as the New York State Good Cause Eviction Law. The landlord's rules or regulations that the tenant has violated also must be reasonable and have been accepted in writing by the tenant or made a part of the lease at the beginning of the lease term (good cause for eviction under paragraph b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{{good_cause.nonrenewal_lease_violation}}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58"/>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either (a) committing or permitting a nuisance on the unit or the premises; (b) maliciously or grossly negligently causing substantial damage to the unit or the premises;</w:t>
      </w:r>
    </w:p>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87" w:right="586"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interfering with the landlord's, another tenant's, or occupants of the same or an adjacent building or structure's comfort and safety (good cause for eviction under paragraph c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{{good_cause.nonrenewal_nuisance}}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0"/>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tenant's occupancy of the unit violates law and the landlord is subject to civil or criminal penalties for continuing to let the tenant occupy the unit. For this good cause to apply, a state or municipal agency having jurisdiction must have issued an order requiring the tenant to vacate the unit. No tenant shall be removed from possession of a unit on this basis unless the court finds that the cure of the violation of law requires the removal of the tenant and that the landlord did not, through neglect or deliberate action or failure to act, create the condition necessitating the vacate order. If the landlord does not try to cure the conditions causing the violation of the law, the tenant has the right to pay or secure payment, in a manner satisfactory to the court, to cure the violation. Any tenant expenditures to cure the violation shall be applied against rent owed to the landlord. Even if removal of a tenant is absolutely essential to the tenant's health and safety, the tenant shall be entitled to resume possession at such time as the dangerous conditions have been removed. The tenant also retains the right to bring an action for monetary damages against the landlord or to otherwise compel the landlord to comply with all applicable state or municipal housing codes (good cause for eviction under paragraph d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{{good_cause.nonrenewal_illegal_occupancy}}</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7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is using or permitting the unit or premises to be used for an illegal purpose (good cause for eviction under paragraph e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{{good_cause.nonrenewal_illegal_use}}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787"/>
        </w:tabs>
        <w:spacing w:after="0" w:before="0" w:line="240" w:lineRule="auto"/>
        <w:ind w:left="588" w:right="586" w:firstLine="0"/>
        <w:jc w:val="both"/>
        <w:rPr>
          <w:b w:val="0"/>
          <w:bCs w:val="0"/>
          <w:i w:val="0"/>
          <w:iCs w:val="0"/>
          <w:smallCaps w:val="0"/>
          <w:strike w:val="0"/>
          <w:color w:val="000000"/>
          <w:u w:val="none"/>
          <w:shd w:fill="auto" w:val="clear"/>
          <w:vertAlign w:val="baseline"/>
        </w:rPr>
        <w:sectPr>
          <w:footerReference r:id="rId37" w:type="default"/>
          <w:type w:val="nextPage"/>
          <w:pgSz w:h="15840" w:w="12240" w:orient="portrait"/>
          <w:pgMar w:bottom="477" w:top="823" w:left="420" w:right="420" w:header="0" w:footer="177"/>
        </w:sect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unreasonably refused the landlord access to the unit for the purposes of making necessary repairs or improvements required by law or for the purposes of showing the premises to a prospective purchaser, mortgagee, or other person with a legitimate interest in the premises (good cause for eviction under paragraph f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{{good_cause.nonrenewal_refused_access}}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64"/>
        </w:tabs>
        <w:spacing w:after="0" w:before="61"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recover possession of the unit for the landlord's personal use and occupancy as the landlord's principal residence, or for the personal use and occupancy as a principal residence by the landlord's spouse, domestic partner, child, stepchild, parent, step-parent, sibling, grandparent, grandchild, parent-in-law, or sibling-in-law. The landlord can only recover the unit for these purposes if there is no other suitable housing accommodation in the building that is available. Under no circumstances can the landlord recover the unit for these purposes if the tenant is (a) 65 years old or older; or (b) a "disabled person" as defined in subdivision 6 of section 211 of the Real Property Law. To establish this good cause in an eviction proceeding, the landlord must establish good faith to recover possession of a housing accommodation for the uses described herein by clear and convincing evidence (good cause for eviction under paragraph g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{{good_cause.nonrenewal_owner_use}}</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C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2"/>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in good faith seeks to demolish the housing accommodation. To establish this good cause in an eviction proceeding, the landlord must establish good faith to demolish the housing accommodation by clear and convincing evidence (good cause for eviction under paragraph h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{{good_cause.nonrenewal_demolition}}</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911"/>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landlord seeks in good faith to withdraw the unit from the housing rental market. To establish this good cause in an eviction proceeding, the landlord must establish good faith to withdraw the unit from the rental housing market by clear and convincing evidence (good cause for eviction under paragraph i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{{good_cause.nonrenewal_withdrawal}}</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p w:rsidR="00000000" w:rsidDel="00000000" w:rsidP="00000000" w:rsidRDefault="00000000" w:rsidRPr="00000000" w14:paraId="000005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87"/>
        </w:tabs>
        <w:spacing w:after="0" w:before="0" w:line="240" w:lineRule="auto"/>
        <w:ind w:left="588" w:right="586" w:firstLine="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landlord is not renewing the lease because the tenant has failed to agree to reasonable changes at lease renewal, including reasonable increases in rent, and the landlord gave written notice of the changes to the lease to the tenant at least 30 days, but no more than 90 days, before the current lease expired. A rent increase is presumptively unreasonable if the increase from the prior rent is greater than the lower of: (a) 5 percent plus the annual percentage change in the consumer price index for all urban consumers for all items as published by the United States Bureau of Labor Statistics for the region in which the housing accommodation is located, as published by August 1st of each year by the Division of Housing and Community Renewal; or (b) 10 percent (good cause for eviction under paragraph j of subdivision 1 of section 216 of the Real Property Law):</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{{good_cause.nonrenewal_refused_terms}}</w:t>
      </w: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p>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5" w:line="240" w:lineRule="auto"/>
        <w:ind w:left="0" w:right="0" w:firstLine="0"/>
        <w:jc w:val="left"/>
        <w:rPr>
          <w:rFonts w:ascii="Times New Roman" w:cs="Times New Roman" w:eastAsia="Times New Roman" w:hAnsi="Times New Roman"/>
          <w:b w:val="0"/>
          <w:bCs w:val="0"/>
          <w:i w:val="0"/>
          <w:iCs w:val="0"/>
          <w:smallCaps w:val="0"/>
          <w:strike w:val="0"/>
          <w:color w:val="000000"/>
          <w:sz w:val="25"/>
          <w:szCs w:val="25"/>
          <w:u w:val="none"/>
          <w:shd w:fill="auto" w:val="clear"/>
          <w:vertAlign w:val="baseline"/>
        </w:rPr>
      </w:pPr>
    </w:p>
    <w:tbl>
      <w:tblPr>
        <w:tblStyle w:val="Table2"/>
        <w:tblW w:w="10246" w:type="dxa"/>
        <w:jc w:val="left"/>
        <w:tblInd w:w="588"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78"/>
        <w:gridCol w:w="2313"/>
        <w:gridCol w:w="2238"/>
        <w:gridCol w:w="2238"/>
        <w:gridCol w:w="2179"/>
      </w:tblGrid>
      <w:tr>
        <w:trPr>
          <w:cantSplit w:val="0"/>
          <w:trHeight w:val="60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4"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Tenant:</w:t>
            </w:r>
          </w:p>
        </w:tc>
        <w:tc>
          <w:tcPr>
            <w:gridSpan w:val="4"/>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p>
        </w:tc>
      </w:tr>
      <w:tr>
        <w:trPr>
          <w:cantSplit w:val="0"/>
          <w:trHeight w:val="275"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13"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13"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13"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56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40"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40"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40"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320"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 w:line="242.99999999999997"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Signature: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58" w:line="242.99999999999997"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58" w:line="242.99999999999997"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58" w:line="242.99999999999997"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r>
        <w:trPr>
          <w:cantSplit w:val="0"/>
          <w:trHeight w:val="253" w:hRule="atLeast"/>
          <w:tblHeader w:val="0"/>
        </w:trPr>
        <w:tc>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33"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Print Name:</w:t>
            </w: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247"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9"/>
              </w:tabs>
              <w:spacing w:after="0" w:before="0" w:line="233" w:lineRule="auto"/>
              <w:ind w:left="2" w:right="169"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066"/>
              </w:tabs>
              <w:spacing w:after="0" w:before="0" w:line="233" w:lineRule="auto"/>
              <w:ind w:left="0" w:right="172"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c>
          <w:tcPr/>
          <w:p w:rsidR="00000000" w:rsidDel="00000000" w:rsidP="00000000" w:rsidRDefault="00000000" w:rsidRPr="00000000">
            <w:pPr>
              <w:keepNext w:val="0"/>
              <w:keepLines w:val="0"/>
              <w:pageBreakBefore w:val="0"/>
              <w:widowControl w:val="0"/>
              <w:pBdr>
                <w:bottom w:val="single" w:sz="6" w:space="0" w:color="000000"/>
              </w:pBdr>
              <w:shd w:fill="auto" w:val="clear"/>
              <w:tabs>
                <w:tab w:val="left" w:leader="none" w:pos="2133"/>
              </w:tabs>
              <w:spacing w:after="0" w:before="0" w:line="233" w:lineRule="auto"/>
              <w:ind w:left="66" w:right="46"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tc>
      </w:tr>
    </w:tbl>
    <w:p w:rsidR="00000000" w:rsidDel="00000000" w:rsidP="00000000" w:rsidRDefault="00000000" w:rsidRPr="00000000">
      <w:pPr>
        <w:pStyle w:val="Heading3"/>
        <w:spacing w:before="125" w:after="360" w:lineRule="auto"/>
        <w:ind w:left="588" w:right="0" w:firstLine="0"/>
        <w:rPr/>
      </w:pPr>
      <w:r w:rsidDel="00000000" w:rsidR="00000000" w:rsidRPr="00000000">
        <w:rPr>
          <w:rtl w:val="0"/>
        </w:rPr>
        <w:t xml:space="preserve">Landlord or Landlord’s Representative:</w:t>
      </w:r>
    </w:p>
    <w:tbl>
      <w:tblPr>
        <w:tblW w:w="5809" w:type="dxa"/>
        <w:tblInd w:w="588" w:type="dxa"/>
        <w:tblBorders>
          <w:top w:val="none" w:sz="0" w:space="0"/>
          <w:left w:val="none" w:sz="0" w:space="0"/>
          <w:bottom w:val="none" w:sz="0" w:space="0"/>
          <w:right w:val="none" w:sz="0" w:space="0"/>
          <w:insideH w:val="none" w:sz="0" w:space="0"/>
          <w:insideV w:val="none" w:sz="0" w:space="0"/>
        </w:tblBorders>
        <w:tblLayout w:type="fixed"/>
        <w:tblCellMar>
          <w:top w:w="0" w:type="dxa"/>
          <w:left w:w="0" w:type="dxa"/>
          <w:bottom w:w="0" w:type="dxa"/>
          <w:right w:w="0" w:type="dxa"/>
        </w:tblCellMar>
      </w:tblPr>
      <w:tblGrid>
        <w:gridCol w:w="1278"/>
        <w:gridCol w:w="4531"/>
      </w:tblGrid>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Signature: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r>
        <w:tc>
          <w:tcPr>
            <w:tcW w:w="1278" w:type="dxa"/>
          </w:tcPr>
          <w:p>
            <w:pPr>
              <w:spacing w:before="0" w:after="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r>
              <w:rPr>
                <w:rFonts w:ascii="Times New Roman" w:cs="Times New Roman" w:eastAsia="Times New Roman" w:hAnsi="Times New Roman"/>
                <w:b w:val="0"/>
                <w:bCs w:val="0"/>
                <w:i w:val="0"/>
                <w:iCs w:val="0"/>
                <w:smallCaps w:val="0"/>
                <w:strike w:val="0"/>
                <w:color w:val="000000"/>
                <w:sz w:val="22"/>
                <w:szCs w:val="22"/>
                <w:shd w:fill="auto" w:val="clear"/>
                <w:vertAlign w:val="baseline"/>
                <w:rtl w:val="0"/>
                <w:u w:val="none"/>
              </w:rPr>
              <w:t xml:space="preserve">Print Name:</w:t>
            </w:r>
          </w:p>
        </w:tc>
        <w:tc>
          <w:tcPr>
            <w:tcW w:w="4531" w:type="dxa"/>
          </w:tcPr>
          <w:p>
            <w:pPr>
              <w:pBdr>
                <w:bottom w:val="single" w:sz="6" w:space="0" w:color="000000"/>
              </w:pBdr>
              <w:spacing w:before="0" w:after="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pPr>
          </w:p>
        </w:tc>
      </w:tr>
    </w:tbl>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before="0" w:after="0" w:line="20" w:lineRule="exact"/>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p>
    <w:sectPr>
      <w:footerReference r:id="rId37" w:type="default"/>
      <w:type w:val="nextPage"/>
      <w:pgSz w:h="15840" w:w="12240" w:orient="portrait"/>
      <w:pgMar w:bottom="477" w:top="1083" w:left="420" w:right="420" w:header="0" w:footer="17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SimSun"/>
  <w:font w:name="MS Gothic"/>
  <w:font w:name="Malgun Gothic"/>
  <w:font w:name="Arial"/>
  <w:font w:name="Verdana"/>
  <w:font w:name="Nirmala UI"/>
  <w:font w:name="Noto Sans Symbols">
    <w:embedRegular w:fontKey="{00000000-0000-0000-0000-000000000000}" r:id="rId1" w:subsetted="0"/>
    <w:embedBold w:fontKey="{00000000-0000-0000-0000-000000000000}" r:id="rId2" w:subsetted="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Residential Lease Agreement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March 2024 | Utility Addendum - Simple Form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Packages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3"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4.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June 2024 | Key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4"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5.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Renters Insurance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5"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6.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Community Rules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6"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7.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Lease Amendment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7"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8.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Sprinkler System Notice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8"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9.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Lease-Commencement of Occupancy Notice for Indoor Allergen Hazards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9"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0.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NYC Gas Leak, Carbon Monoxide and Smoke Alarm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0"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New York Smoking Policy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1"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leader="none" w:pos="10834"/>
      </w:tabs>
      <w:spacing w:after="0" w:before="0" w:line="240" w:lineRule="auto"/>
      <w:ind w:left="0" w:right="0" w:firstLine="0"/>
      <w:jc w:val="left"/>
      <w:rPr>
        <w:rFonts w:ascii="Times New Roman" w:cs="Times New Roman" w:eastAsia="Times New Roman" w:hAnsi="Times New Roman"/>
        <w:sz w:val="16"/>
        <w:szCs w:val="16"/>
      </w:rPr>
    </w:pPr>
    <w:r>
      <w:rPr>
        <w:rFonts w:ascii="Times New Roman" w:cs="Times New Roman" w:eastAsia="Times New Roman" w:hAnsi="Times New Roman"/>
        <w:sz w:val="16"/>
        <w:szCs w:val="16"/>
      </w:rPr>
      <w:tab/>
      <w:t xml:space="preserve">Rent Concession Rider - Page </w:t>
    </w: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 PAGE </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t>1</w:t>
    </w:r>
    <w:r>
      <w:rPr>
        <w:rFonts w:ascii="Times New Roman" w:cs="Times New Roman" w:eastAsia="Times New Roman" w:hAnsi="Times New Roman"/>
        <w:sz w:val="16"/>
        <w:szCs w:val="16"/>
      </w:rPr>
      <w:fldChar w:fldCharType="end"/>
    </w:r>
    <w:r>
      <w:rPr>
        <w:rFonts w:ascii="Times New Roman" w:cs="Times New Roman" w:eastAsia="Times New Roman" w:hAnsi="Times New Roman"/>
        <w:sz w:val="16"/>
        <w:szCs w:val="16"/>
      </w:rPr>
      <w:t xml:space="preserve"> </w:t>
    </w:r>
    <w:r>
      <w:rPr>
        <w:position w:val="-7"/>
        <w:rFonts w:ascii="Times New Roman" w:cs="Times New Roman" w:eastAsia="Times New Roman" w:hAnsi="Times New Roman"/>
        <w:sz w:val="16"/>
        <w:szCs w:val="16"/>
      </w:rPr>
      <w:drawing>
        <wp:inline distB="0" distT="0" distL="0" distR="0">
          <wp:extent cx="142672" cy="152400"/>
          <wp:effectExtent b="0" l="0" r="0" t="0"/>
          <wp:docPr id="12" name="Equal Housing Opportunity"/>
          <a:graphic>
            <a:graphicData uri="http://schemas.openxmlformats.org/drawingml/2006/picture">
              <pic:pic>
                <pic:nvPicPr>
                  <pic:cNvPr id="0" name="Equal Housing Opportunity"/>
                  <pic:cNvPicPr preferRelativeResize="0"/>
                </pic:nvPicPr>
                <pic:blipFill>
                  <a:blip r:embed="rId1"/>
                  <a:srcRect b="0" l="0" r="0" t="0"/>
                  <a:stretch>
                    <a:fillRect/>
                  </a:stretch>
                </pic:blipFill>
                <pic:spPr>
                  <a:xfrm>
                    <a:off x="0" y="0"/>
                    <a:ext cx="142672" cy="152400"/>
                  </a:xfrm>
                  <a:prstGeom prst="rect"/>
                  <a:ln/>
                </pic:spPr>
              </pic:pic>
            </a:graphicData>
          </a:graphic>
        </wp:inline>
      </w:drawing>
    </w:r>
  </w:p>
</w:ftr>
</file>

<file path=word/footer13.xml><?xml version="1.0" encoding="utf-8"?>
<w:ftr xmlns:w="http://schemas.openxmlformats.org/wordprocessingml/2006/main">
  <w:p>
    <w:pPr>
      <w:spacing w:after="0" w:before="0" w:line="20" w:lineRule="exact"/>
      <w:rPr>
        <w:sz w:val="2"/>
      </w:rPr>
    </w:pP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88" w:hanging="249"/>
      </w:pPr>
      <w:rPr>
        <w:rFonts w:ascii="Times New Roman" w:cs="Times New Roman" w:eastAsia="Times New Roman" w:hAnsi="Times New Roman"/>
        <w:sz w:val="22"/>
        <w:szCs w:val="22"/>
      </w:rPr>
    </w:lvl>
    <w:lvl w:ilvl="1">
      <w:start w:val="1"/>
      <w:numFmt w:val="upperLetter"/>
      <w:lvlText w:val="%2."/>
      <w:lvlJc w:val="left"/>
      <w:pPr>
        <w:ind w:left="588" w:hanging="274"/>
      </w:pPr>
      <w:rPr>
        <w:rFonts w:ascii="Times New Roman" w:cs="Times New Roman" w:eastAsia="Times New Roman" w:hAnsi="Times New Roman"/>
        <w:sz w:val="22"/>
        <w:szCs w:val="22"/>
      </w:rPr>
    </w:lvl>
    <w:lvl w:ilvl="2">
      <w:start w:val="0"/>
      <w:numFmt w:val="bullet"/>
      <w:lvlText w:val="•"/>
      <w:lvlJc w:val="left"/>
      <w:pPr>
        <w:ind w:left="2744" w:hanging="274.00000000000045"/>
      </w:pPr>
      <w:rPr/>
    </w:lvl>
    <w:lvl w:ilvl="3">
      <w:start w:val="0"/>
      <w:numFmt w:val="bullet"/>
      <w:lvlText w:val="•"/>
      <w:lvlJc w:val="left"/>
      <w:pPr>
        <w:ind w:left="3826" w:hanging="273.99999999999955"/>
      </w:pPr>
      <w:rPr/>
    </w:lvl>
    <w:lvl w:ilvl="4">
      <w:start w:val="0"/>
      <w:numFmt w:val="bullet"/>
      <w:lvlText w:val="•"/>
      <w:lvlJc w:val="left"/>
      <w:pPr>
        <w:ind w:left="4908" w:hanging="274"/>
      </w:pPr>
      <w:rPr/>
    </w:lvl>
    <w:lvl w:ilvl="5">
      <w:start w:val="0"/>
      <w:numFmt w:val="bullet"/>
      <w:lvlText w:val="•"/>
      <w:lvlJc w:val="left"/>
      <w:pPr>
        <w:ind w:left="5990" w:hanging="274"/>
      </w:pPr>
      <w:rPr/>
    </w:lvl>
    <w:lvl w:ilvl="6">
      <w:start w:val="0"/>
      <w:numFmt w:val="bullet"/>
      <w:lvlText w:val="•"/>
      <w:lvlJc w:val="left"/>
      <w:pPr>
        <w:ind w:left="7072" w:hanging="273.9999999999991"/>
      </w:pPr>
      <w:rPr/>
    </w:lvl>
    <w:lvl w:ilvl="7">
      <w:start w:val="0"/>
      <w:numFmt w:val="bullet"/>
      <w:lvlText w:val="•"/>
      <w:lvlJc w:val="left"/>
      <w:pPr>
        <w:ind w:left="8154" w:hanging="274"/>
      </w:pPr>
      <w:rPr/>
    </w:lvl>
    <w:lvl w:ilvl="8">
      <w:start w:val="0"/>
      <w:numFmt w:val="bullet"/>
      <w:lvlText w:val="•"/>
      <w:lvlJc w:val="left"/>
      <w:pPr>
        <w:ind w:left="9236" w:hanging="274"/>
      </w:pPr>
      <w:rPr/>
    </w:lvl>
  </w:abstractNum>
  <w:abstractNum w:abstractNumId="2">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1668" w:hanging="180"/>
      </w:pPr>
      <w:rPr>
        <w:rFonts w:ascii="Noto Sans Symbols" w:cs="Noto Sans Symbols" w:eastAsia="Noto Sans Symbols" w:hAnsi="Noto Sans Symbols"/>
        <w:sz w:val="22"/>
        <w:szCs w:val="22"/>
      </w:rPr>
    </w:lvl>
    <w:lvl w:ilvl="2">
      <w:start w:val="0"/>
      <w:numFmt w:val="bullet"/>
      <w:lvlText w:val="•"/>
      <w:lvlJc w:val="left"/>
      <w:pPr>
        <w:ind w:left="2742" w:hanging="180"/>
      </w:pPr>
      <w:rPr/>
    </w:lvl>
    <w:lvl w:ilvl="3">
      <w:start w:val="0"/>
      <w:numFmt w:val="bullet"/>
      <w:lvlText w:val="•"/>
      <w:lvlJc w:val="left"/>
      <w:pPr>
        <w:ind w:left="3824" w:hanging="180"/>
      </w:pPr>
      <w:rPr/>
    </w:lvl>
    <w:lvl w:ilvl="4">
      <w:start w:val="0"/>
      <w:numFmt w:val="bullet"/>
      <w:lvlText w:val="•"/>
      <w:lvlJc w:val="left"/>
      <w:pPr>
        <w:ind w:left="4906" w:hanging="180"/>
      </w:pPr>
      <w:rPr/>
    </w:lvl>
    <w:lvl w:ilvl="5">
      <w:start w:val="0"/>
      <w:numFmt w:val="bullet"/>
      <w:lvlText w:val="•"/>
      <w:lvlJc w:val="left"/>
      <w:pPr>
        <w:ind w:left="5988" w:hanging="180"/>
      </w:pPr>
      <w:rPr/>
    </w:lvl>
    <w:lvl w:ilvl="6">
      <w:start w:val="0"/>
      <w:numFmt w:val="bullet"/>
      <w:lvlText w:val="•"/>
      <w:lvlJc w:val="left"/>
      <w:pPr>
        <w:ind w:left="7071" w:hanging="180"/>
      </w:pPr>
      <w:rPr/>
    </w:lvl>
    <w:lvl w:ilvl="7">
      <w:start w:val="0"/>
      <w:numFmt w:val="bullet"/>
      <w:lvlText w:val="•"/>
      <w:lvlJc w:val="left"/>
      <w:pPr>
        <w:ind w:left="8153" w:hanging="180"/>
      </w:pPr>
      <w:rPr/>
    </w:lvl>
    <w:lvl w:ilvl="8">
      <w:start w:val="0"/>
      <w:numFmt w:val="bullet"/>
      <w:lvlText w:val="•"/>
      <w:lvlJc w:val="left"/>
      <w:pPr>
        <w:ind w:left="9235" w:hanging="180"/>
      </w:pPr>
      <w:rPr/>
    </w:lvl>
  </w:abstractNum>
  <w:abstractNum w:abstractNumId="3">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4">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5">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6">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Noto Sans Symbols" w:cs="Noto Sans Symbols" w:eastAsia="Noto Sans Symbols" w:hAnsi="Noto Sans Symbols"/>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7">
    <w:lvl w:ilvl="0">
      <w:start w:val="1"/>
      <w:numFmt w:val="decimal"/>
      <w:lvlText w:val="%1."/>
      <w:lvlJc w:val="left"/>
      <w:pPr>
        <w:ind w:left="948" w:hanging="360"/>
      </w:pPr>
      <w:rPr>
        <w:rFonts w:ascii="Times New Roman" w:cs="Times New Roman" w:eastAsia="Times New Roman" w:hAnsi="Times New Roman"/>
        <w:sz w:val="21"/>
        <w:szCs w:val="21"/>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8">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986" w:hanging="360"/>
      </w:pPr>
      <w:rPr/>
    </w:lvl>
    <w:lvl w:ilvl="2">
      <w:start w:val="0"/>
      <w:numFmt w:val="bullet"/>
      <w:lvlText w:val="•"/>
      <w:lvlJc w:val="left"/>
      <w:pPr>
        <w:ind w:left="3032" w:hanging="360"/>
      </w:pPr>
      <w:rPr/>
    </w:lvl>
    <w:lvl w:ilvl="3">
      <w:start w:val="0"/>
      <w:numFmt w:val="bullet"/>
      <w:lvlText w:val="•"/>
      <w:lvlJc w:val="left"/>
      <w:pPr>
        <w:ind w:left="4078" w:hanging="360"/>
      </w:pPr>
      <w:rPr/>
    </w:lvl>
    <w:lvl w:ilvl="4">
      <w:start w:val="0"/>
      <w:numFmt w:val="bullet"/>
      <w:lvlText w:val="•"/>
      <w:lvlJc w:val="left"/>
      <w:pPr>
        <w:ind w:left="5124" w:hanging="360"/>
      </w:pPr>
      <w:rPr/>
    </w:lvl>
    <w:lvl w:ilvl="5">
      <w:start w:val="0"/>
      <w:numFmt w:val="bullet"/>
      <w:lvlText w:val="•"/>
      <w:lvlJc w:val="left"/>
      <w:pPr>
        <w:ind w:left="6170" w:hanging="360"/>
      </w:pPr>
      <w:rPr/>
    </w:lvl>
    <w:lvl w:ilvl="6">
      <w:start w:val="0"/>
      <w:numFmt w:val="bullet"/>
      <w:lvlText w:val="•"/>
      <w:lvlJc w:val="left"/>
      <w:pPr>
        <w:ind w:left="7216" w:hanging="360"/>
      </w:pPr>
      <w:rPr/>
    </w:lvl>
    <w:lvl w:ilvl="7">
      <w:start w:val="0"/>
      <w:numFmt w:val="bullet"/>
      <w:lvlText w:val="•"/>
      <w:lvlJc w:val="left"/>
      <w:pPr>
        <w:ind w:left="8262" w:hanging="360"/>
      </w:pPr>
      <w:rPr/>
    </w:lvl>
    <w:lvl w:ilvl="8">
      <w:start w:val="0"/>
      <w:numFmt w:val="bullet"/>
      <w:lvlText w:val="•"/>
      <w:lvlJc w:val="left"/>
      <w:pPr>
        <w:ind w:left="9308" w:hanging="360"/>
      </w:pPr>
      <w:rPr/>
    </w:lvl>
  </w:abstractNum>
  <w:abstractNum w:abstractNumId="9">
    <w:lvl w:ilvl="0">
      <w:start w:val="1"/>
      <w:numFmt w:val="decimal"/>
      <w:lvlText w:val="%1."/>
      <w:lvlJc w:val="left"/>
      <w:pPr>
        <w:ind w:left="588" w:hanging="360"/>
      </w:pPr>
      <w:rPr>
        <w:rFonts w:ascii="Times New Roman" w:cs="Times New Roman" w:eastAsia="Times New Roman" w:hAnsi="Times New Roman"/>
        <w:sz w:val="22"/>
        <w:szCs w:val="22"/>
      </w:rPr>
    </w:lvl>
    <w:lvl w:ilvl="1">
      <w:start w:val="0"/>
      <w:numFmt w:val="bullet"/>
      <w:lvlText w:val="•"/>
      <w:lvlJc w:val="left"/>
      <w:pPr>
        <w:ind w:left="1662" w:hanging="360"/>
      </w:pPr>
      <w:rPr/>
    </w:lvl>
    <w:lvl w:ilvl="2">
      <w:start w:val="0"/>
      <w:numFmt w:val="bullet"/>
      <w:lvlText w:val="•"/>
      <w:lvlJc w:val="left"/>
      <w:pPr>
        <w:ind w:left="2744" w:hanging="360"/>
      </w:pPr>
      <w:rPr/>
    </w:lvl>
    <w:lvl w:ilvl="3">
      <w:start w:val="0"/>
      <w:numFmt w:val="bullet"/>
      <w:lvlText w:val="•"/>
      <w:lvlJc w:val="left"/>
      <w:pPr>
        <w:ind w:left="3826" w:hanging="360"/>
      </w:pPr>
      <w:rPr/>
    </w:lvl>
    <w:lvl w:ilvl="4">
      <w:start w:val="0"/>
      <w:numFmt w:val="bullet"/>
      <w:lvlText w:val="•"/>
      <w:lvlJc w:val="left"/>
      <w:pPr>
        <w:ind w:left="4908" w:hanging="360"/>
      </w:pPr>
      <w:rPr/>
    </w:lvl>
    <w:lvl w:ilvl="5">
      <w:start w:val="0"/>
      <w:numFmt w:val="bullet"/>
      <w:lvlText w:val="•"/>
      <w:lvlJc w:val="left"/>
      <w:pPr>
        <w:ind w:left="5990" w:hanging="360"/>
      </w:pPr>
      <w:rPr/>
    </w:lvl>
    <w:lvl w:ilvl="6">
      <w:start w:val="0"/>
      <w:numFmt w:val="bullet"/>
      <w:lvlText w:val="•"/>
      <w:lvlJc w:val="left"/>
      <w:pPr>
        <w:ind w:left="7072" w:hanging="360"/>
      </w:pPr>
      <w:rPr/>
    </w:lvl>
    <w:lvl w:ilvl="7">
      <w:start w:val="0"/>
      <w:numFmt w:val="bullet"/>
      <w:lvlText w:val="•"/>
      <w:lvlJc w:val="left"/>
      <w:pPr>
        <w:ind w:left="8154" w:hanging="360"/>
      </w:pPr>
      <w:rPr/>
    </w:lvl>
    <w:lvl w:ilvl="8">
      <w:start w:val="0"/>
      <w:numFmt w:val="bullet"/>
      <w:lvlText w:val="•"/>
      <w:lvlJc w:val="left"/>
      <w:pPr>
        <w:ind w:left="9236" w:hanging="360"/>
      </w:pPr>
      <w:rPr/>
    </w:lvl>
  </w:abstractNum>
  <w:abstractNum w:abstractNumId="10">
    <w:lvl w:ilvl="0">
      <w:start w:val="1"/>
      <w:numFmt w:val="upperLetter"/>
      <w:lvlText w:val="%1."/>
      <w:lvlJc w:val="left"/>
      <w:pPr>
        <w:ind w:left="1308" w:hanging="359.9999999999999"/>
      </w:pPr>
      <w:rPr>
        <w:rFonts w:ascii="Times New Roman" w:cs="Times New Roman" w:eastAsia="Times New Roman" w:hAnsi="Times New Roman"/>
        <w:sz w:val="22"/>
        <w:szCs w:val="22"/>
      </w:rPr>
    </w:lvl>
    <w:lvl w:ilvl="1">
      <w:start w:val="1"/>
      <w:numFmt w:val="decimal"/>
      <w:lvlText w:val="%2."/>
      <w:lvlJc w:val="left"/>
      <w:pPr>
        <w:ind w:left="1668" w:hanging="360"/>
      </w:pPr>
      <w:rPr>
        <w:rFonts w:ascii="Times New Roman" w:cs="Times New Roman" w:eastAsia="Times New Roman" w:hAnsi="Times New Roman"/>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1">
    <w:lvl w:ilvl="0">
      <w:start w:val="1"/>
      <w:numFmt w:val="decimal"/>
      <w:lvlText w:val="%1."/>
      <w:lvlJc w:val="left"/>
      <w:pPr>
        <w:ind w:left="948" w:hanging="360"/>
      </w:pPr>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1"/>
      <w:numFmt w:val="decimal"/>
      <w:lvlText w:val="%3."/>
      <w:lvlJc w:val="left"/>
      <w:pPr>
        <w:ind w:left="1668" w:hanging="360"/>
      </w:pPr>
      <w:rPr/>
    </w:lvl>
    <w:lvl w:ilvl="3">
      <w:start w:val="1"/>
      <w:numFmt w:val="lowerLetter"/>
      <w:lvlText w:val="%4."/>
      <w:lvlJc w:val="left"/>
      <w:pPr>
        <w:ind w:left="2028" w:hanging="360"/>
      </w:pPr>
      <w:rPr/>
    </w:lvl>
    <w:lvl w:ilvl="4">
      <w:start w:val="0"/>
      <w:numFmt w:val="bullet"/>
      <w:lvlText w:val="•"/>
      <w:lvlJc w:val="left"/>
      <w:pPr>
        <w:ind w:left="3360" w:hanging="360"/>
      </w:pPr>
      <w:rPr/>
    </w:lvl>
    <w:lvl w:ilvl="5">
      <w:start w:val="0"/>
      <w:numFmt w:val="bullet"/>
      <w:lvlText w:val="•"/>
      <w:lvlJc w:val="left"/>
      <w:pPr>
        <w:ind w:left="4700" w:hanging="360"/>
      </w:pPr>
      <w:rPr/>
    </w:lvl>
    <w:lvl w:ilvl="6">
      <w:start w:val="0"/>
      <w:numFmt w:val="bullet"/>
      <w:lvlText w:val="•"/>
      <w:lvlJc w:val="left"/>
      <w:pPr>
        <w:ind w:left="6040" w:hanging="360"/>
      </w:pPr>
      <w:rPr/>
    </w:lvl>
    <w:lvl w:ilvl="7">
      <w:start w:val="0"/>
      <w:numFmt w:val="bullet"/>
      <w:lvlText w:val="•"/>
      <w:lvlJc w:val="left"/>
      <w:pPr>
        <w:ind w:left="7380" w:hanging="360"/>
      </w:pPr>
      <w:rPr/>
    </w:lvl>
    <w:lvl w:ilvl="8">
      <w:start w:val="0"/>
      <w:numFmt w:val="bullet"/>
      <w:lvlText w:val="•"/>
      <w:lvlJc w:val="left"/>
      <w:pPr>
        <w:ind w:left="8720" w:hanging="360"/>
      </w:pPr>
      <w:rPr/>
    </w:lvl>
  </w:abstractNum>
  <w:abstractNum w:abstractNumId="12">
    <w:lvl w:ilvl="0">
      <w:start w:val="1"/>
      <w:numFmt w:val="decimal"/>
      <w:lvlText w:val="%1."/>
      <w:lvlJc w:val="left"/>
      <w:pPr>
        <w:ind w:left="948" w:hanging="360"/>
      </w:pPr>
      <w:rPr>
        <w:rFonts w:ascii="Times New Roman" w:cs="Times New Roman" w:eastAsia="Times New Roman" w:hAnsi="Times New Roman"/>
        <w:sz w:val="22"/>
        <w:szCs w:val="22"/>
      </w:rPr>
    </w:lvl>
    <w:lvl w:ilvl="1">
      <w:start w:val="1"/>
      <w:numFmt w:val="upperLetter"/>
      <w:lvlText w:val="%2."/>
      <w:lvlJc w:val="left"/>
      <w:pPr>
        <w:ind w:left="1308" w:hanging="359.9999999999999"/>
      </w:pPr>
      <w:rPr>
        <w:rFonts w:ascii="Times New Roman" w:cs="Times New Roman" w:eastAsia="Times New Roman" w:hAnsi="Times New Roman"/>
        <w:sz w:val="22"/>
        <w:szCs w:val="22"/>
      </w:rPr>
    </w:lvl>
    <w:lvl w:ilvl="2">
      <w:start w:val="0"/>
      <w:numFmt w:val="bullet"/>
      <w:lvlText w:val="•"/>
      <w:lvlJc w:val="left"/>
      <w:pPr>
        <w:ind w:left="2422" w:hanging="360"/>
      </w:pPr>
      <w:rPr/>
    </w:lvl>
    <w:lvl w:ilvl="3">
      <w:start w:val="0"/>
      <w:numFmt w:val="bullet"/>
      <w:lvlText w:val="•"/>
      <w:lvlJc w:val="left"/>
      <w:pPr>
        <w:ind w:left="3544" w:hanging="360"/>
      </w:pPr>
      <w:rPr/>
    </w:lvl>
    <w:lvl w:ilvl="4">
      <w:start w:val="0"/>
      <w:numFmt w:val="bullet"/>
      <w:lvlText w:val="•"/>
      <w:lvlJc w:val="left"/>
      <w:pPr>
        <w:ind w:left="4666" w:hanging="360"/>
      </w:pPr>
      <w:rPr/>
    </w:lvl>
    <w:lvl w:ilvl="5">
      <w:start w:val="0"/>
      <w:numFmt w:val="bullet"/>
      <w:lvlText w:val="•"/>
      <w:lvlJc w:val="left"/>
      <w:pPr>
        <w:ind w:left="5788" w:hanging="360"/>
      </w:pPr>
      <w:rPr/>
    </w:lvl>
    <w:lvl w:ilvl="6">
      <w:start w:val="0"/>
      <w:numFmt w:val="bullet"/>
      <w:lvlText w:val="•"/>
      <w:lvlJc w:val="left"/>
      <w:pPr>
        <w:ind w:left="6911" w:hanging="360"/>
      </w:pPr>
      <w:rPr/>
    </w:lvl>
    <w:lvl w:ilvl="7">
      <w:start w:val="0"/>
      <w:numFmt w:val="bullet"/>
      <w:lvlText w:val="•"/>
      <w:lvlJc w:val="left"/>
      <w:pPr>
        <w:ind w:left="8033" w:hanging="360"/>
      </w:pPr>
      <w:rPr/>
    </w:lvl>
    <w:lvl w:ilvl="8">
      <w:start w:val="0"/>
      <w:numFmt w:val="bullet"/>
      <w:lvlText w:val="•"/>
      <w:lvlJc w:val="left"/>
      <w:pPr>
        <w:ind w:left="9155" w:hanging="360"/>
      </w:pPr>
      <w:rPr/>
    </w:lvl>
  </w:abstractNum>
  <w:abstractNum w:abstractNumId="13">
    <w:lvl w:ilvl="0">
      <w:start w:val="1"/>
      <w:numFmt w:val="decimal"/>
      <w:lvlText w:val="%1."/>
      <w:lvlJc w:val="left"/>
      <w:pPr>
        <w:ind w:left="948" w:hanging="360"/>
      </w:pPr>
      <w:rPr>
        <w:rFonts w:ascii="Times New Roman" w:cs="Times New Roman" w:eastAsia="Times New Roman" w:hAnsi="Times New Roman"/>
        <w:sz w:val="22"/>
        <w:szCs w:val="22"/>
      </w:rPr>
    </w:lvl>
    <w:lvl w:ilvl="1">
      <w:start w:val="0"/>
      <w:numFmt w:val="bullet"/>
      <w:lvlText w:val="•"/>
      <w:lvlJc w:val="left"/>
      <w:pPr>
        <w:ind w:left="1668" w:hanging="360"/>
      </w:pPr>
      <w:rPr>
        <w:rFonts w:ascii="Verdana" w:cs="Verdana" w:eastAsia="Verdana" w:hAnsi="Verdana"/>
        <w:b w:val="1"/>
        <w:bCs w:val="1"/>
        <w:sz w:val="22"/>
        <w:szCs w:val="22"/>
      </w:rPr>
    </w:lvl>
    <w:lvl w:ilvl="2">
      <w:start w:val="0"/>
      <w:numFmt w:val="bullet"/>
      <w:lvlText w:val="•"/>
      <w:lvlJc w:val="left"/>
      <w:pPr>
        <w:ind w:left="2742" w:hanging="360"/>
      </w:pPr>
      <w:rPr/>
    </w:lvl>
    <w:lvl w:ilvl="3">
      <w:start w:val="0"/>
      <w:numFmt w:val="bullet"/>
      <w:lvlText w:val="•"/>
      <w:lvlJc w:val="left"/>
      <w:pPr>
        <w:ind w:left="3824" w:hanging="360"/>
      </w:pPr>
      <w:rPr/>
    </w:lvl>
    <w:lvl w:ilvl="4">
      <w:start w:val="0"/>
      <w:numFmt w:val="bullet"/>
      <w:lvlText w:val="•"/>
      <w:lvlJc w:val="left"/>
      <w:pPr>
        <w:ind w:left="4906" w:hanging="360"/>
      </w:pPr>
      <w:rPr/>
    </w:lvl>
    <w:lvl w:ilvl="5">
      <w:start w:val="0"/>
      <w:numFmt w:val="bullet"/>
      <w:lvlText w:val="•"/>
      <w:lvlJc w:val="left"/>
      <w:pPr>
        <w:ind w:left="5988" w:hanging="360"/>
      </w:pPr>
      <w:rPr/>
    </w:lvl>
    <w:lvl w:ilvl="6">
      <w:start w:val="0"/>
      <w:numFmt w:val="bullet"/>
      <w:lvlText w:val="•"/>
      <w:lvlJc w:val="left"/>
      <w:pPr>
        <w:ind w:left="7071" w:hanging="360"/>
      </w:pPr>
      <w:rPr/>
    </w:lvl>
    <w:lvl w:ilvl="7">
      <w:start w:val="0"/>
      <w:numFmt w:val="bullet"/>
      <w:lvlText w:val="•"/>
      <w:lvlJc w:val="left"/>
      <w:pPr>
        <w:ind w:left="8153" w:hanging="360"/>
      </w:pPr>
      <w:rPr/>
    </w:lvl>
    <w:lvl w:ilvl="8">
      <w:start w:val="0"/>
      <w:numFmt w:val="bullet"/>
      <w:lvlText w:val="•"/>
      <w:lvlJc w:val="left"/>
      <w:pPr>
        <w:ind w:left="9235" w:hanging="360"/>
      </w:pPr>
      <w:rPr/>
    </w:lvl>
  </w:abstractNum>
  <w:abstractNum w:abstractNumId="14">
    <w:lvl w:ilvl="0">
      <w:start w:val="10"/>
      <w:numFmt w:val="upperRoman"/>
      <w:lvlText w:val="[%1]"/>
      <w:lvlJc w:val="left"/>
      <w:pPr>
        <w:ind w:left="757" w:hanging="388.99999999999994"/>
      </w:pPr>
      <w:rPr>
        <w:rFonts w:ascii="Times New Roman" w:cs="Times New Roman" w:eastAsia="Times New Roman" w:hAnsi="Times New Roman"/>
        <w:sz w:val="24"/>
        <w:szCs w:val="24"/>
      </w:rPr>
    </w:lvl>
    <w:lvl w:ilvl="1">
      <w:start w:val="1"/>
      <w:numFmt w:val="decimal"/>
      <w:lvlText w:val="%2."/>
      <w:lvlJc w:val="left"/>
      <w:pPr>
        <w:ind w:left="948" w:hanging="360"/>
      </w:pPr>
      <w:rPr>
        <w:rFonts w:ascii="Times New Roman" w:cs="Times New Roman" w:eastAsia="Times New Roman" w:hAnsi="Times New Roman"/>
        <w:sz w:val="22"/>
        <w:szCs w:val="22"/>
      </w:rPr>
    </w:lvl>
    <w:lvl w:ilvl="2">
      <w:start w:val="0"/>
      <w:numFmt w:val="bullet"/>
      <w:lvlText w:val="•"/>
      <w:lvlJc w:val="left"/>
      <w:pPr>
        <w:ind w:left="2102" w:hanging="360"/>
      </w:pPr>
      <w:rPr/>
    </w:lvl>
    <w:lvl w:ilvl="3">
      <w:start w:val="0"/>
      <w:numFmt w:val="bullet"/>
      <w:lvlText w:val="•"/>
      <w:lvlJc w:val="left"/>
      <w:pPr>
        <w:ind w:left="3264" w:hanging="360"/>
      </w:pPr>
      <w:rPr/>
    </w:lvl>
    <w:lvl w:ilvl="4">
      <w:start w:val="0"/>
      <w:numFmt w:val="bullet"/>
      <w:lvlText w:val="•"/>
      <w:lvlJc w:val="left"/>
      <w:pPr>
        <w:ind w:left="4426" w:hanging="360"/>
      </w:pPr>
      <w:rPr/>
    </w:lvl>
    <w:lvl w:ilvl="5">
      <w:start w:val="0"/>
      <w:numFmt w:val="bullet"/>
      <w:lvlText w:val="•"/>
      <w:lvlJc w:val="left"/>
      <w:pPr>
        <w:ind w:left="5588" w:hanging="360"/>
      </w:pPr>
      <w:rPr/>
    </w:lvl>
    <w:lvl w:ilvl="6">
      <w:start w:val="0"/>
      <w:numFmt w:val="bullet"/>
      <w:lvlText w:val="•"/>
      <w:lvlJc w:val="left"/>
      <w:pPr>
        <w:ind w:left="6751" w:hanging="360"/>
      </w:pPr>
      <w:rPr/>
    </w:lvl>
    <w:lvl w:ilvl="7">
      <w:start w:val="0"/>
      <w:numFmt w:val="bullet"/>
      <w:lvlText w:val="•"/>
      <w:lvlJc w:val="left"/>
      <w:pPr>
        <w:ind w:left="7913" w:hanging="360"/>
      </w:pPr>
      <w:rPr/>
    </w:lvl>
    <w:lvl w:ilvl="8">
      <w:start w:val="0"/>
      <w:numFmt w:val="bullet"/>
      <w:lvlText w:val="•"/>
      <w:lvlJc w:val="left"/>
      <w:pPr>
        <w:ind w:left="9075" w:hanging="360"/>
      </w:pPr>
      <w:rPr/>
    </w:lvl>
  </w:abstractNum>
  <w:abstractNum w:abstractNumId="15">
    <w:lvl w:ilvl="0">
      <w:start w:val="0"/>
      <w:numFmt w:val="bullet"/>
      <w:lvlText w:val="□"/>
      <w:lvlJc w:val="left"/>
      <w:pPr>
        <w:ind w:left="1379" w:hanging="359"/>
      </w:pPr>
      <w:rPr>
        <w:rFonts w:ascii="Calibri" w:cs="Calibri" w:eastAsia="Calibri" w:hAnsi="Calibri"/>
        <w:sz w:val="32"/>
        <w:szCs w:val="32"/>
      </w:rPr>
    </w:lvl>
    <w:lvl w:ilvl="1">
      <w:start w:val="0"/>
      <w:numFmt w:val="bullet"/>
      <w:lvlText w:val="•"/>
      <w:lvlJc w:val="left"/>
      <w:pPr>
        <w:ind w:left="2382" w:hanging="359.0000000000002"/>
      </w:pPr>
      <w:rPr/>
    </w:lvl>
    <w:lvl w:ilvl="2">
      <w:start w:val="0"/>
      <w:numFmt w:val="bullet"/>
      <w:lvlText w:val="•"/>
      <w:lvlJc w:val="left"/>
      <w:pPr>
        <w:ind w:left="3384" w:hanging="359"/>
      </w:pPr>
      <w:rPr/>
    </w:lvl>
    <w:lvl w:ilvl="3">
      <w:start w:val="0"/>
      <w:numFmt w:val="bullet"/>
      <w:lvlText w:val="•"/>
      <w:lvlJc w:val="left"/>
      <w:pPr>
        <w:ind w:left="4386" w:hanging="358.99999999999955"/>
      </w:pPr>
      <w:rPr/>
    </w:lvl>
    <w:lvl w:ilvl="4">
      <w:start w:val="0"/>
      <w:numFmt w:val="bullet"/>
      <w:lvlText w:val="•"/>
      <w:lvlJc w:val="left"/>
      <w:pPr>
        <w:ind w:left="5388" w:hanging="359"/>
      </w:pPr>
      <w:rPr/>
    </w:lvl>
    <w:lvl w:ilvl="5">
      <w:start w:val="0"/>
      <w:numFmt w:val="bullet"/>
      <w:lvlText w:val="•"/>
      <w:lvlJc w:val="left"/>
      <w:pPr>
        <w:ind w:left="6390" w:hanging="359"/>
      </w:pPr>
      <w:rPr/>
    </w:lvl>
    <w:lvl w:ilvl="6">
      <w:start w:val="0"/>
      <w:numFmt w:val="bullet"/>
      <w:lvlText w:val="•"/>
      <w:lvlJc w:val="left"/>
      <w:pPr>
        <w:ind w:left="7392" w:hanging="358.9999999999991"/>
      </w:pPr>
      <w:rPr/>
    </w:lvl>
    <w:lvl w:ilvl="7">
      <w:start w:val="0"/>
      <w:numFmt w:val="bullet"/>
      <w:lvlText w:val="•"/>
      <w:lvlJc w:val="left"/>
      <w:pPr>
        <w:ind w:left="8394" w:hanging="359"/>
      </w:pPr>
      <w:rPr/>
    </w:lvl>
    <w:lvl w:ilvl="8">
      <w:start w:val="0"/>
      <w:numFmt w:val="bullet"/>
      <w:lvlText w:val="•"/>
      <w:lvlJc w:val="left"/>
      <w:pPr>
        <w:ind w:left="9396" w:hanging="359"/>
      </w:pPr>
      <w:rPr/>
    </w:lvl>
  </w:abstractNum>
  <w:abstractNum w:abstractNumId="16">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7">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8">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abstractNum w:abstractNumId="19">
    <w:lvl w:ilvl="0">
      <w:start w:val="1"/>
      <w:numFmt w:val="decimal"/>
      <w:lvlText w:val="%1."/>
      <w:lvlJc w:val="left"/>
      <w:pPr>
        <w:ind w:left="1308" w:hanging="359.9999999999999"/>
      </w:pPr>
      <w:rPr>
        <w:rFonts w:ascii="Times New Roman" w:cs="Times New Roman" w:eastAsia="Times New Roman" w:hAnsi="Times New Roman"/>
        <w:sz w:val="22"/>
        <w:szCs w:val="22"/>
      </w:rPr>
    </w:lvl>
    <w:lvl w:ilvl="1">
      <w:start w:val="0"/>
      <w:numFmt w:val="bullet"/>
      <w:lvlText w:val="•"/>
      <w:lvlJc w:val="left"/>
      <w:pPr>
        <w:ind w:left="2310" w:hanging="360"/>
      </w:pPr>
      <w:rPr/>
    </w:lvl>
    <w:lvl w:ilvl="2">
      <w:start w:val="0"/>
      <w:numFmt w:val="bullet"/>
      <w:lvlText w:val="•"/>
      <w:lvlJc w:val="left"/>
      <w:pPr>
        <w:ind w:left="3320" w:hanging="360"/>
      </w:pPr>
      <w:rPr/>
    </w:lvl>
    <w:lvl w:ilvl="3">
      <w:start w:val="0"/>
      <w:numFmt w:val="bullet"/>
      <w:lvlText w:val="•"/>
      <w:lvlJc w:val="left"/>
      <w:pPr>
        <w:ind w:left="4330" w:hanging="360"/>
      </w:pPr>
      <w:rPr/>
    </w:lvl>
    <w:lvl w:ilvl="4">
      <w:start w:val="0"/>
      <w:numFmt w:val="bullet"/>
      <w:lvlText w:val="•"/>
      <w:lvlJc w:val="left"/>
      <w:pPr>
        <w:ind w:left="5340" w:hanging="360"/>
      </w:pPr>
      <w:rPr/>
    </w:lvl>
    <w:lvl w:ilvl="5">
      <w:start w:val="0"/>
      <w:numFmt w:val="bullet"/>
      <w:lvlText w:val="•"/>
      <w:lvlJc w:val="left"/>
      <w:pPr>
        <w:ind w:left="6350" w:hanging="360"/>
      </w:pPr>
      <w:rPr/>
    </w:lvl>
    <w:lvl w:ilvl="6">
      <w:start w:val="0"/>
      <w:numFmt w:val="bullet"/>
      <w:lvlText w:val="•"/>
      <w:lvlJc w:val="left"/>
      <w:pPr>
        <w:ind w:left="7360" w:hanging="360"/>
      </w:pPr>
      <w:rPr/>
    </w:lvl>
    <w:lvl w:ilvl="7">
      <w:start w:val="0"/>
      <w:numFmt w:val="bullet"/>
      <w:lvlText w:val="•"/>
      <w:lvlJc w:val="left"/>
      <w:pPr>
        <w:ind w:left="8370" w:hanging="360"/>
      </w:pPr>
      <w:rPr/>
    </w:lvl>
    <w:lvl w:ilvl="8">
      <w:start w:val="0"/>
      <w:numFmt w:val="bullet"/>
      <w:lvlText w:val="•"/>
      <w:lvlJc w:val="left"/>
      <w:pPr>
        <w:ind w:left="93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300"/>
    </w:pPr>
    <w:rPr>
      <w:rFonts w:ascii="Calibri" w:cs="Calibri" w:eastAsia="Calibri" w:hAnsi="Calibri"/>
      <w:b w:val="1"/>
      <w:bCs w:val="1"/>
      <w:sz w:val="28"/>
      <w:szCs w:val="28"/>
    </w:rPr>
  </w:style>
  <w:style w:type="paragraph" w:styleId="Heading2">
    <w:name w:val="heading 2"/>
    <w:basedOn w:val="Normal"/>
    <w:next w:val="Normal"/>
    <w:pPr>
      <w:jc w:val="center"/>
    </w:pPr>
    <w:rPr>
      <w:rFonts w:ascii="Times New Roman" w:cs="Times New Roman" w:eastAsia="Times New Roman" w:hAnsi="Times New Roman"/>
      <w:b w:val="1"/>
      <w:bCs w:val="1"/>
      <w:sz w:val="24"/>
      <w:szCs w:val="24"/>
    </w:rPr>
  </w:style>
  <w:style w:type="paragraph" w:styleId="Heading3">
    <w:name w:val="heading 3"/>
    <w:basedOn w:val="Normal"/>
    <w:next w:val="Normal"/>
    <w:pPr>
      <w:ind w:left="588"/>
    </w:pPr>
    <w:rPr>
      <w:rFonts w:ascii="Times New Roman" w:cs="Times New Roman" w:eastAsia="Times New Roman" w:hAnsi="Times New Roman"/>
      <w:b w:val="1"/>
      <w:bCs w:val="1"/>
      <w:sz w:val="22"/>
      <w:szCs w:val="22"/>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Table Normal"/>
    <w:uiPriority w:val="2"/>
    <w:semiHidden w:val="1"/>
    <w:unhideWhenUsed w:val="1"/>
    <w:qFormat w:val="1"/>
    <w:tblPr>
      <w:tblInd w:w="0.0" w:type="dxa"/>
      <w:tblCellMar>
        <w:top w:w="0.0" w:type="dxa"/>
        <w:left w:w="0.0" w:type="dxa"/>
        <w:bottom w:w="0.0" w:type="dxa"/>
        <w:right w:w="0.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pPr/>
    <w:rPr>
      <w:rFonts w:ascii="Times New Roman" w:cs="Times New Roman" w:eastAsia="Times New Roman" w:hAnsi="Times New Roman"/>
      <w:sz w:val="22"/>
      <w:szCs w:val="22"/>
      <w:lang w:bidi="ar-SA" w:eastAsia="en-US" w:val="en-US"/>
    </w:rPr>
  </w:style>
  <w:style w:type="paragraph" w:styleId="ListParagraph">
    <w:name w:val="List Paragraph"/>
    <w:basedOn w:val="Normal"/>
    <w:uiPriority w:val="1"/>
    <w:qFormat w:val="1"/>
    <w:pPr>
      <w:ind w:left="1308" w:right="586" w:hanging="360"/>
      <w:jc w:val="both"/>
    </w:pPr>
    <w:rPr>
      <w:rFonts w:ascii="Times New Roman" w:cs="Times New Roman" w:eastAsia="Times New Roman" w:hAnsi="Times New Roman"/>
      <w:lang w:bidi="ar-SA" w:eastAsia="en-US" w:val="en-US"/>
    </w:rPr>
  </w:style>
  <w:style w:type="paragraph" w:styleId="TableParagraph">
    <w:name w:val="Table Paragraph"/>
    <w:basedOn w:val="Normal"/>
    <w:uiPriority w:val="1"/>
    <w:qFormat w:val="1"/>
    <w:pPr/>
    <w:rPr>
      <w:rFonts w:ascii="Times New Roman" w:cs="Times New Roman" w:eastAsia="Times New Roman" w:hAnsi="Times New Roman"/>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2" Type="http://schemas.openxmlformats.org/officeDocument/2006/relationships/hyperlink" Target="http://www.hcr.ny.gov/" TargetMode="External"/><Relationship Id="rId21" Type="http://schemas.openxmlformats.org/officeDocument/2006/relationships/image" Target="media/image26.png"/><Relationship Id="rId24" Type="http://schemas.openxmlformats.org/officeDocument/2006/relationships/hyperlink" Target="https://hcr.ny.gov/operational-bulletin-2022-1" TargetMode="External"/><Relationship Id="rId23" Type="http://schemas.openxmlformats.org/officeDocument/2006/relationships/hyperlink" Target="https://hcr.ny.gov/operational-bulletin-2022-1" TargetMode="Externa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17" Type="http://schemas.openxmlformats.org/officeDocument/2006/relationships/image" Target="media/image1.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footer" Target="footer4.xml"/><Relationship Id="rId29" Type="http://schemas.openxmlformats.org/officeDocument/2006/relationships/footer" Target="footer5.xml"/><Relationship Id="rId30" Type="http://schemas.openxmlformats.org/officeDocument/2006/relationships/footer" Target="footer6.xml"/><Relationship Id="rId31" Type="http://schemas.openxmlformats.org/officeDocument/2006/relationships/footer" Target="footer7.xml"/><Relationship Id="rId32" Type="http://schemas.openxmlformats.org/officeDocument/2006/relationships/footer" Target="footer8.xml"/><Relationship Id="rId33" Type="http://schemas.openxmlformats.org/officeDocument/2006/relationships/footer" Target="footer9.xml"/><Relationship Id="rId34" Type="http://schemas.openxmlformats.org/officeDocument/2006/relationships/footer" Target="footer10.xml"/><Relationship Id="rId35" Type="http://schemas.openxmlformats.org/officeDocument/2006/relationships/footer" Target="footer11.xml"/><Relationship Id="rId36" Type="http://schemas.openxmlformats.org/officeDocument/2006/relationships/footer" Target="footer12.xml"/><Relationship Id="rId37" Type="http://schemas.openxmlformats.org/officeDocument/2006/relationships/footer" Target="footer13.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4.png"/></Relationships>
</file>

<file path=word/_rels/footer2.xml.rels><?xml version="1.0" encoding="UTF-8" standalone="yes"?>
<Relationships xmlns="http://schemas.openxmlformats.org/package/2006/relationships"><Relationship Id="rId1" Type="http://schemas.openxmlformats.org/officeDocument/2006/relationships/image" Target="media/image34.png"/></Relationships>
</file>

<file path=word/_rels/footer3.xml.rels><?xml version="1.0" encoding="UTF-8" standalone="yes"?>
<Relationships xmlns="http://schemas.openxmlformats.org/package/2006/relationships"><Relationship Id="rId1" Type="http://schemas.openxmlformats.org/officeDocument/2006/relationships/image" Target="media/image34.png"/></Relationships>
</file>

<file path=word/_rels/footer4.xml.rels><?xml version="1.0" encoding="UTF-8" standalone="yes"?>
<Relationships xmlns="http://schemas.openxmlformats.org/package/2006/relationships"><Relationship Id="rId1" Type="http://schemas.openxmlformats.org/officeDocument/2006/relationships/image" Target="media/image34.png"/></Relationships>
</file>

<file path=word/_rels/footer5.xml.rels><?xml version="1.0" encoding="UTF-8" standalone="yes"?>
<Relationships xmlns="http://schemas.openxmlformats.org/package/2006/relationships"><Relationship Id="rId1" Type="http://schemas.openxmlformats.org/officeDocument/2006/relationships/image" Target="media/image34.png"/></Relationships>
</file>

<file path=word/_rels/footer6.xml.rels><?xml version="1.0" encoding="UTF-8" standalone="yes"?>
<Relationships xmlns="http://schemas.openxmlformats.org/package/2006/relationships"><Relationship Id="rId1" Type="http://schemas.openxmlformats.org/officeDocument/2006/relationships/image" Target="media/image34.png"/></Relationships>
</file>

<file path=word/_rels/footer7.xml.rels><?xml version="1.0" encoding="UTF-8" standalone="yes"?>
<Relationships xmlns="http://schemas.openxmlformats.org/package/2006/relationships"><Relationship Id="rId1" Type="http://schemas.openxmlformats.org/officeDocument/2006/relationships/image" Target="media/image34.png"/></Relationships>
</file>

<file path=word/_rels/footer8.xml.rels><?xml version="1.0" encoding="UTF-8" standalone="yes"?>
<Relationships xmlns="http://schemas.openxmlformats.org/package/2006/relationships"><Relationship Id="rId1" Type="http://schemas.openxmlformats.org/officeDocument/2006/relationships/image" Target="media/image34.png"/></Relationships>
</file>

<file path=word/_rels/footer9.xml.rels><?xml version="1.0" encoding="UTF-8" standalone="yes"?>
<Relationships xmlns="http://schemas.openxmlformats.org/package/2006/relationships"><Relationship Id="rId1" Type="http://schemas.openxmlformats.org/officeDocument/2006/relationships/image" Target="media/image34.png"/></Relationships>
</file>

<file path=word/_rels/footer10.xml.rels><?xml version="1.0" encoding="UTF-8" standalone="yes"?>
<Relationships xmlns="http://schemas.openxmlformats.org/package/2006/relationships"><Relationship Id="rId1" Type="http://schemas.openxmlformats.org/officeDocument/2006/relationships/image" Target="media/image34.png"/></Relationships>
</file>

<file path=word/_rels/footer11.xml.rels><?xml version="1.0" encoding="UTF-8" standalone="yes"?>
<Relationships xmlns="http://schemas.openxmlformats.org/package/2006/relationships"><Relationship Id="rId1" Type="http://schemas.openxmlformats.org/officeDocument/2006/relationships/image" Target="media/image34.png"/></Relationships>
</file>

<file path=word/_rels/footer12.xml.rels><?xml version="1.0" encoding="UTF-8" standalone="yes"?>
<Relationships xmlns="http://schemas.openxmlformats.org/package/2006/relationships"><Relationship Id="rId1" Type="http://schemas.openxmlformats.org/officeDocument/2006/relationships/image" Target="media/image34.png"/></Relationships>
</file>

<file path=word/_rels/footer13.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York Residential Lease Agreement</dc:title>
  <dc:creator>Star Real Estate, Inc.</dc:creator>
  <cp:lastModifiedBy>Star Real Estate, Inc.</cp:lastModifiedBy>
  <dcterms:created xsi:type="dcterms:W3CDTF">2024-07-31T23:14:02Z</dcterms:created>
</cp:coreProperties>
</file>