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SDocTitle"/>
        <w:keepNext w:val="0"/>
        <w:spacing w:line="360" w:lineRule="auto" w:before="120" w:after="120"/>
        <w:ind w:firstLine="0"/>
        <w:jc w:val="center"/>
      </w:pPr>
      <w:r>
        <w:rPr>
          <w:rFonts w:ascii="Times New Roman" w:hAnsi="Times New Roman" w:eastAsia="宋体" w:cs="Times New Roman"/>
          <w:b/>
          <w:sz w:val="44"/>
        </w:rPr>
        <w:t>星澜工业服务运营改善与区域协同简报</w:t>
      </w:r>
    </w:p>
    <w:p>
      <w:pPr>
        <w:pStyle w:val="PSSubtitle"/>
        <w:keepNext w:val="0"/>
        <w:spacing w:line="360" w:lineRule="auto" w:before="12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sz w:val="30"/>
        </w:rPr>
        <w:t>2026-04-30 | 虚构案例 | Lightweight demo for formal Chinese Word delivery</w:t>
      </w:r>
    </w:p>
    <w:p>
      <w:pPr>
        <w:pStyle w:val="PSLead"/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宋体" w:cs="Times New Roman"/>
          <w:b/>
          <w:sz w:val="24"/>
        </w:rPr>
        <w:t>这份轻量模式 demo 用来展示 `word-polished-doc-collab` 在“不引入重型 workspace 约束”的前提下，依然可以把一份内容充实的中文正式文档稳定落成可交付的 `.docx` 与 `.pdf`，同时保持段落首行缩进、表题加粗、表格对齐和图片题注节奏清楚。</w:t>
      </w:r>
    </w:p>
    <w:p>
      <w:pPr>
        <w:pStyle w:val="PSHeading1"/>
        <w:keepNext/>
        <w:spacing w:line="360" w:lineRule="auto" w:before="120" w:after="120"/>
        <w:ind w:firstLine="0"/>
        <w:jc w:val="left"/>
      </w:pPr>
      <w:r>
        <w:rPr>
          <w:rFonts w:ascii="Times New Roman" w:hAnsi="Times New Roman" w:eastAsia="宋体" w:cs="Times New Roman"/>
          <w:b/>
          <w:sz w:val="32"/>
        </w:rPr>
        <w:t>执行摘要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星澜工业服务股份有限公司是一家虚构的工业后市场服务商，主营现场维保、备件保障、远程诊断和节能改造。过去两年公司收入增长较快，但区域协同、工程师排班和合同结构没有同步优化，导致收入规模扩大后，毛利率、空驶率和回款效率反而出现波动。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本简报的核心判断是：公司当前最需要修复的不是市场需求，而是“区域协同失灵 + 合同结构失真 + 现场排班粗放”三件事叠加造成的经营噪音。如果管理层在未来 180 天内同步推进调度治理、合同分层和备件参数治理，预计现场服务毛利率可从 21% 提升到 27%，工程师空驶率可从 18% 降到 11%，库存周转天数可下降约 9 天。</w:t>
      </w:r>
    </w:p>
    <w:p>
      <w:pPr>
        <w:pStyle w:val="PSHeading1"/>
        <w:keepNext/>
        <w:spacing w:line="360" w:lineRule="auto" w:before="120" w:after="120"/>
        <w:ind w:firstLine="0"/>
        <w:jc w:val="left"/>
      </w:pPr>
      <w:r>
        <w:rPr>
          <w:rFonts w:ascii="Times New Roman" w:hAnsi="Times New Roman" w:eastAsia="宋体" w:cs="Times New Roman"/>
          <w:b/>
          <w:sz w:val="32"/>
        </w:rPr>
        <w:t>当前经营诊断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公司最大的经营矛盾是高波动收入占比过高。2025A 时点，紧急维修类收入仍占 44%，这类业务虽然能在短期内填满排班表，但也带来了高峰期加班、备件急采和低价值工单挤占高等级工程师的问题。与此同时，预防性维保和远程监测的复购率明显更高，却因为销售激励和交付组织没有对齐，始终没有拿到足够资源。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区域维度看，北区签约能力最强，但工单分级粗放，导致高毛利合同没有稳定兑现。华东区客户关系最好，却没有把预防性维保打包成标准合同。西南区价格折扣过深，低于总部建议带宽，进一步拖累了续签质量和现金周转。</w:t>
      </w:r>
    </w:p>
    <w:p>
      <w:pPr>
        <w:pStyle w:val="PSTableTitle"/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表 1 关键经营诊断与外部标杆对比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星澜 2025A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外部标杆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差距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现场服务毛利率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紧急维修收入占比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44%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27%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+17pct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工程师空驶率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+8pct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备件周转天数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+21 天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预防性套餐渗透率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55%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-24pct</w:t>
            </w:r>
          </w:p>
        </w:tc>
      </w:tr>
    </w:tbl>
    <w:p>
      <w:pPr>
        <w:pStyle w:val="PSTableCaption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表注：外部标杆为虚构同业样本中位数，用于说明改善方向，不对应真实行业数据库。</w:t>
      </w:r>
    </w:p>
    <w:p>
      <w:pPr>
        <w:pStyle w:val="PSFigureBody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3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mix_margin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SFigureTitle"/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1 服务结构与毛利率改善轨迹</w:t>
      </w:r>
    </w:p>
    <w:p>
      <w:pPr>
        <w:pStyle w:val="PSFigureNote"/>
        <w:keepNext w:val="0"/>
        <w:spacing w:line="360" w:lineRule="auto" w:before="0" w:after="4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图注：图中保留英文指标字段名，模拟一线经营看板直接出图的常见输入形式。</w:t>
      </w:r>
    </w:p>
    <w:p>
      <w:pPr>
        <w:pStyle w:val="PSSourceNote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来源：项目组基于虚构经营假设整理。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从结果上看，问题已经不是“多签几个单子能不能解决”，而是“什么样的收入值得继续扩大”。只有把高波动项目收入逐步迁移到 recurring service，现场组织才有机会在不继续堆人和加班的情况下改善利润。</w:t>
      </w:r>
    </w:p>
    <w:p>
      <w:pPr>
        <w:pStyle w:val="PSHeading1"/>
        <w:keepNext/>
        <w:spacing w:line="360" w:lineRule="auto" w:before="120" w:after="120"/>
        <w:ind w:firstLine="0"/>
        <w:jc w:val="left"/>
      </w:pPr>
      <w:r>
        <w:rPr>
          <w:rFonts w:ascii="Times New Roman" w:hAnsi="Times New Roman" w:eastAsia="宋体" w:cs="Times New Roman"/>
          <w:b/>
          <w:sz w:val="32"/>
        </w:rPr>
        <w:t>区域协同与服务组合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区域协同失灵主要体现在三件事上。第一，派工规则仍按属地行政边界执行，没有把工程师技能、客户 SLA 和跨区交通时间放到同一套决策里。第二，服务产品包定义不清，同样的维保合同在不同区域被卖成不同版本，导致交付复杂度持续上升。第三，备件策略仍基于历史经验补货，没有和设备装机密度、故障频率和调拨成本联动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北区应优先治理派工与工单分级，让高等级工程师回到高价值合同。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华东区应把高复购客户沉淀成标准预防性套餐，形成续签模板。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西南区应收紧折扣审批，先修复低毛利客户结构，再扩大新签。</w:t>
      </w:r>
    </w:p>
    <w:p>
      <w:pPr>
        <w:pStyle w:val="PSTableTitle"/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表 2 区域运营画像与建议动作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区域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收入占比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主要问题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优先动作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180 天目标</w:t>
            </w:r>
          </w:p>
        </w:tc>
      </w:tr>
      <w:tr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北区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34%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排班粗放，空驶率高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重做工单分级与跨区派工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空驶率下降 5pct</w:t>
            </w:r>
          </w:p>
        </w:tc>
      </w:tr>
      <w:tr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华东区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27%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套餐标准化不足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固化续签模板与 upsell 话术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套餐渗透率提升至 45%</w:t>
            </w:r>
          </w:p>
        </w:tc>
      </w:tr>
      <w:tr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华南区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18%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备件调拨频繁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重算安全库存与补货带宽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备件周转天数下降 6 天</w:t>
            </w:r>
          </w:p>
        </w:tc>
      </w:tr>
      <w:tr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西南区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21%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折扣过深，低毛利客户多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收紧授权并重算底价红线</w:t>
            </w:r>
          </w:p>
        </w:tc>
        <w:tc>
          <w:tcPr>
            <w:tcW w:type="dxa" w:w="1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新签合同毛利率提升 2pct</w:t>
            </w:r>
          </w:p>
        </w:tc>
      </w:tr>
    </w:tbl>
    <w:p>
      <w:pPr>
        <w:pStyle w:val="PSTableCaption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表注：区域画像和目标均为虚构案例输入，用于测试轻量模式下的多列表格与条目对齐。</w:t>
      </w:r>
    </w:p>
    <w:p>
      <w:pPr>
        <w:pStyle w:val="PSFigureBody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81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productivity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SFigureTitle"/>
        <w:keepNext/>
        <w:spacing w:line="360" w:lineRule="auto" w:before="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 分公司生产率与服务渗透率矩阵</w:t>
      </w:r>
    </w:p>
    <w:p>
      <w:pPr>
        <w:pStyle w:val="PSFigureNote"/>
        <w:keepNext w:val="0"/>
        <w:spacing w:line="360" w:lineRule="auto" w:before="0" w:after="4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图注：横轴为 recurring attach rate，纵轴为 engineer productivity，用于区分扩张、治理和修复优先级。</w:t>
      </w:r>
    </w:p>
    <w:p>
      <w:pPr>
        <w:pStyle w:val="PSSourceNote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来源：项目组基于 6 个虚构分公司的经营画像整理。</w:t>
      </w:r>
    </w:p>
    <w:p>
      <w:pPr>
        <w:pStyle w:val="PSHeading1"/>
        <w:keepNext/>
        <w:spacing w:line="360" w:lineRule="auto" w:before="120" w:after="120"/>
        <w:ind w:firstLine="0"/>
        <w:jc w:val="left"/>
      </w:pPr>
      <w:r>
        <w:rPr>
          <w:rFonts w:ascii="Times New Roman" w:hAnsi="Times New Roman" w:eastAsia="宋体" w:cs="Times New Roman"/>
          <w:b/>
          <w:sz w:val="32"/>
        </w:rPr>
        <w:t>百日行动与治理节奏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轻量模式不适合承载完整咨询项目的证据链，但足以把管理层最需要看的百日动作落清楚。建议先按“先修复经济性，再扩大增长”的顺序推进，而不是把所有区域同时拉进大而全的转型计划。</w:t>
      </w:r>
    </w:p>
    <w:p>
      <w:pPr>
        <w:pStyle w:val="PSTableTitle"/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表 3 百日行动计划摘要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工作流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负责人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30 天动作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100 天目标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调度治理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COO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建立跨区域派工看板，统一工单分级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工程师空驶率下降 4pct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定价治理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商业负责人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收紧低毛利折扣审批，设定红线客户清单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新签合同毛利率提升 2pct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服务产品化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解决方案负责人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推出预防性维保标准包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续签套餐渗透率提升至 40%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备件治理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供应链负责人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清理慢动件与跨仓调拨规则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周转天数下降 8 天</w:t>
            </w:r>
          </w:p>
        </w:tc>
      </w:tr>
    </w:tbl>
    <w:p>
      <w:pPr>
        <w:pStyle w:val="PSTableCaption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表注：表中目标是本次虚构案例中的咨询建议输出，用于验证轻量模式的表题、表注和表格对齐规则。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了避免治理动作再次沦为报表工程，管理层每两周应固定复盘四项指标：高波动收入占比、工程师空驶率、续签套餐渗透率和库存周转天数。所有区域都应围绕这四项指标讲同一套语言，而不是各自发明指标口径。</w:t>
      </w:r>
    </w:p>
    <w:p>
      <w:pPr>
        <w:pStyle w:val="PSHeading1"/>
        <w:keepNext/>
        <w:spacing w:line="360" w:lineRule="auto" w:before="120" w:after="120"/>
        <w:ind w:firstLine="0"/>
        <w:jc w:val="left"/>
      </w:pPr>
      <w:r>
        <w:rPr>
          <w:rFonts w:ascii="Times New Roman" w:hAnsi="Times New Roman" w:eastAsia="宋体" w:cs="Times New Roman"/>
          <w:b/>
          <w:sz w:val="32"/>
        </w:rPr>
        <w:t>财务效果与执行边界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如果百日动作按节奏推进，公司最先感受到的改善会发生在毛利率和排班效率，而不是收入规模本身。收入的改善更多会在第二轮合同续签时释放，因此短期 KPI 不应只盯签约额，还必须同时看合同质量和交付稳定性。</w:t>
      </w:r>
    </w:p>
    <w:p>
      <w:pPr>
        <w:pStyle w:val="PSTableTitle"/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表 4 目标状态财务影响摘要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3"/>
        <w:gridCol w:w="2293"/>
        <w:gridCol w:w="2293"/>
        <w:gridCol w:w="2293"/>
      </w:tblGrid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当前状态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180 天目标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改善幅度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现场服务毛利率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21.0%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27.0%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+6.0pct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工程师空驶率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套餐渗透率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43%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+12pct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库存周转天数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-9 天</w:t>
            </w:r>
          </w:p>
        </w:tc>
      </w:tr>
      <w:tr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调整后 EBITDA margin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11.2%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14.8%</w:t>
            </w:r>
          </w:p>
        </w:tc>
        <w:tc>
          <w:tcPr>
            <w:tcW w:type="dxa" w:w="22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+3.6pct</w:t>
            </w:r>
          </w:p>
        </w:tc>
      </w:tr>
    </w:tbl>
    <w:p>
      <w:pPr>
        <w:pStyle w:val="PSTableCaption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表注：这里的当前状态与目标状态均不对应真实公司，仅用于测试轻量模式下的正式中文版式与交付节奏。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如果区域总经理仍保留过大的价格豁免权，折扣治理会失效。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如果总部没有同步统一工单分级，调度看板只会变成新的报表负担。</w:t>
      </w:r>
    </w:p>
    <w:p>
      <w:pPr>
        <w:pStyle w:val="PSList"/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• 如果一线数据口径持续漂移，后续升级到 refined 模式时，自动 QA 也无法建立在稳定 source 之上。</w:t>
      </w:r>
    </w:p>
    <w:p>
      <w:pPr>
        <w:pStyle w:val="PSBody"/>
        <w:keepNext w:val="0"/>
        <w:spacing w:line="360" w:lineRule="auto" w:before="12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这份 demo 是纯虚构案例，用于展示 `word-polished-doc-collab` 在轻量模式下如何处理一份内容丰富、结构清楚、带表格和图片的正式中文 Word 文档，不构成真实咨询建议或投资判断。</w:t>
      </w:r>
    </w:p>
    <w:sectPr w:rsidR="00FC693F" w:rsidRPr="0006063C" w:rsidSect="00034616">
      <w:pgSz w:w="11909" w:h="16834"/>
      <w:pgMar w:top="1368" w:right="1368" w:bottom="1368" w:left="1368" w:header="720" w:footer="720" w:gutter="0"/>
      <w:cols w:space="403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DocTitle">
    <w:name w:val="PSDocTitle"/>
    <w:pPr>
      <w:keepNext w:val="0"/>
      <w:spacing w:line="360" w:lineRule="auto" w:before="120" w:after="120"/>
      <w:ind w:firstLine="0"/>
    </w:pPr>
    <w:rPr>
      <w:rFonts w:ascii="Times New Roman" w:hAnsi="Times New Roman" w:eastAsia="宋体" w:cs="Times New Roman"/>
      <w:b/>
      <w:sz w:val="44"/>
    </w:rPr>
  </w:style>
  <w:style w:type="paragraph" w:customStyle="1" w:styleId="PSSubtitle">
    <w:name w:val="PSSubtitle"/>
    <w:pPr>
      <w:keepNext w:val="0"/>
      <w:spacing w:line="360" w:lineRule="auto" w:before="120" w:after="120"/>
      <w:ind w:firstLine="0"/>
    </w:pPr>
    <w:rPr>
      <w:rFonts w:ascii="Times New Roman" w:hAnsi="Times New Roman" w:eastAsia="宋体" w:cs="Times New Roman"/>
      <w:b w:val="0"/>
      <w:sz w:val="30"/>
    </w:rPr>
  </w:style>
  <w:style w:type="paragraph" w:customStyle="1" w:styleId="PSHeading1">
    <w:name w:val="PSHeading1"/>
    <w:pPr>
      <w:keepNext/>
      <w:spacing w:line="360" w:lineRule="auto" w:before="120" w:after="120"/>
      <w:ind w:firstLine="0"/>
    </w:pPr>
    <w:rPr>
      <w:rFonts w:ascii="Times New Roman" w:hAnsi="Times New Roman" w:eastAsia="宋体" w:cs="Times New Roman"/>
      <w:b/>
      <w:sz w:val="32"/>
    </w:rPr>
  </w:style>
  <w:style w:type="paragraph" w:customStyle="1" w:styleId="PSHeading2">
    <w:name w:val="PSHeading2"/>
    <w:pPr>
      <w:keepNext/>
      <w:spacing w:line="360" w:lineRule="auto" w:before="120" w:after="120"/>
      <w:ind w:firstLine="0"/>
    </w:pPr>
    <w:rPr>
      <w:rFonts w:ascii="Times New Roman" w:hAnsi="Times New Roman" w:eastAsia="宋体" w:cs="Times New Roman"/>
      <w:b/>
      <w:sz w:val="30"/>
    </w:rPr>
  </w:style>
  <w:style w:type="paragraph" w:customStyle="1" w:styleId="PSHeading3">
    <w:name w:val="PSHeading3"/>
    <w:pPr>
      <w:keepNext/>
      <w:spacing w:line="360" w:lineRule="auto" w:before="120" w:after="120"/>
      <w:ind w:firstLine="0"/>
    </w:pPr>
    <w:rPr>
      <w:rFonts w:ascii="Times New Roman" w:hAnsi="Times New Roman" w:eastAsia="宋体" w:cs="Times New Roman"/>
      <w:b/>
      <w:sz w:val="28"/>
    </w:rPr>
  </w:style>
  <w:style w:type="paragraph" w:customStyle="1" w:styleId="PSHeading4">
    <w:name w:val="PSHeading4"/>
    <w:pPr>
      <w:keepNext/>
      <w:spacing w:line="360" w:lineRule="auto" w:before="120" w:after="120"/>
      <w:ind w:firstLine="0"/>
    </w:pPr>
    <w:rPr>
      <w:rFonts w:ascii="Times New Roman" w:hAnsi="Times New Roman" w:eastAsia="宋体" w:cs="Times New Roman"/>
      <w:b/>
      <w:sz w:val="24"/>
    </w:rPr>
  </w:style>
  <w:style w:type="paragraph" w:customStyle="1" w:styleId="PSLead">
    <w:name w:val="PSLead"/>
    <w:pPr>
      <w:keepNext w:val="0"/>
      <w:spacing w:line="360" w:lineRule="auto" w:before="0" w:after="160"/>
      <w:ind w:firstLine="0"/>
    </w:pPr>
    <w:rPr>
      <w:rFonts w:ascii="Times New Roman" w:hAnsi="Times New Roman" w:eastAsia="宋体" w:cs="Times New Roman"/>
      <w:b/>
      <w:sz w:val="24"/>
    </w:rPr>
  </w:style>
  <w:style w:type="paragraph" w:customStyle="1" w:styleId="PSBody">
    <w:name w:val="PSBody"/>
    <w:pPr>
      <w:keepNext w:val="0"/>
      <w:spacing w:line="360" w:lineRule="auto" w:before="120" w:after="12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customStyle="1" w:styleId="PSList">
    <w:name w:val="PSList"/>
    <w:pPr>
      <w:keepNext w:val="0"/>
      <w:spacing w:line="360" w:lineRule="auto" w:before="0" w:after="120"/>
      <w:ind w:firstLine="0"/>
    </w:pPr>
    <w:rPr>
      <w:rFonts w:ascii="Times New Roman" w:hAnsi="Times New Roman" w:eastAsia="宋体" w:cs="Times New Roman"/>
      <w:b w:val="0"/>
      <w:sz w:val="24"/>
    </w:rPr>
  </w:style>
  <w:style w:type="paragraph" w:customStyle="1" w:styleId="PSTableTitle">
    <w:name w:val="PSTableTitle"/>
    <w:pPr>
      <w:keepNext/>
      <w:spacing w:line="360" w:lineRule="auto" w:before="120" w:after="0"/>
      <w:ind w:firstLine="0"/>
    </w:pPr>
    <w:rPr>
      <w:rFonts w:ascii="Times New Roman" w:hAnsi="Times New Roman" w:eastAsia="宋体" w:cs="Times New Roman"/>
      <w:b/>
      <w:sz w:val="24"/>
    </w:rPr>
  </w:style>
  <w:style w:type="paragraph" w:customStyle="1" w:styleId="PSTableCaption">
    <w:name w:val="PSTableCaption"/>
    <w:pPr>
      <w:keepNext w:val="0"/>
      <w:spacing w:line="360" w:lineRule="auto" w:before="0" w:after="120"/>
      <w:ind w:firstLine="0"/>
    </w:pPr>
    <w:rPr>
      <w:rFonts w:ascii="Times New Roman" w:hAnsi="Times New Roman" w:eastAsia="宋体" w:cs="Times New Roman"/>
      <w:b w:val="0"/>
      <w:sz w:val="21"/>
    </w:rPr>
  </w:style>
  <w:style w:type="paragraph" w:customStyle="1" w:styleId="PSFigureTitle">
    <w:name w:val="PSFigureTitle"/>
    <w:pPr>
      <w:keepNext/>
      <w:spacing w:line="360" w:lineRule="auto" w:before="0" w:after="120"/>
      <w:ind w:firstLine="0"/>
    </w:pPr>
    <w:rPr>
      <w:rFonts w:ascii="Times New Roman" w:hAnsi="Times New Roman" w:eastAsia="宋体" w:cs="Times New Roman"/>
      <w:b w:val="0"/>
      <w:sz w:val="21"/>
    </w:rPr>
  </w:style>
  <w:style w:type="paragraph" w:customStyle="1" w:styleId="PSFigureNote">
    <w:name w:val="PSFigureNote"/>
    <w:pPr>
      <w:keepNext w:val="0"/>
      <w:spacing w:line="360" w:lineRule="auto" w:before="0" w:after="40"/>
      <w:ind w:firstLine="0"/>
    </w:pPr>
    <w:rPr>
      <w:rFonts w:ascii="Times New Roman" w:hAnsi="Times New Roman" w:eastAsia="宋体" w:cs="Times New Roman"/>
      <w:b w:val="0"/>
      <w:sz w:val="21"/>
    </w:rPr>
  </w:style>
  <w:style w:type="paragraph" w:customStyle="1" w:styleId="PSSourceNote">
    <w:name w:val="PSSourceNote"/>
    <w:pPr>
      <w:keepNext w:val="0"/>
      <w:spacing w:line="360" w:lineRule="auto" w:before="0" w:after="120"/>
      <w:ind w:firstLine="0"/>
    </w:pPr>
    <w:rPr>
      <w:rFonts w:ascii="Times New Roman" w:hAnsi="Times New Roman" w:eastAsia="宋体" w:cs="Times New Roman"/>
      <w:b w:val="0"/>
      <w:sz w:val="21"/>
    </w:rPr>
  </w:style>
  <w:style w:type="paragraph" w:customStyle="1" w:styleId="PSFigureBody">
    <w:name w:val="PSFigureBody"/>
    <w:pPr>
      <w:keepNext w:val="0"/>
      <w:spacing w:line="240" w:lineRule="auto" w:before="0" w:after="0"/>
      <w:ind w:firstLine="0"/>
    </w:pPr>
    <w:rPr>
      <w:rFonts w:ascii="Times New Roman" w:hAnsi="Times New Roman" w:eastAsia="宋体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