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报销制度（细则）</w:t>
      </w:r>
    </w:p>
    <w:p>
      <w:pPr>
        <w:pStyle w:val="Heading2"/>
      </w:pPr>
      <w:r>
        <w:t>发票类型与限额</w:t>
      </w:r>
    </w:p>
    <w:p>
      <w:r>
        <w:t>增值税普通发票：单笔限额 5000 元。</w:t>
      </w:r>
    </w:p>
    <w:p>
      <w:r>
        <w:t>增值税专用发票：需附抵扣联，单笔限额 20000 元。</w:t>
      </w:r>
    </w:p>
    <w:p>
      <w:r>
        <w:t>电子发票：打印后标注「已报销」字样以防重复报销。</w:t>
      </w:r>
    </w:p>
    <w:p>
      <w:r>
        <w:t>交通票据：保留火车、飞机、出租车原始票据。</w:t>
      </w:r>
    </w:p>
    <w:p>
      <w:pPr>
        <w:pStyle w:val="Heading2"/>
      </w:pPr>
      <w:r>
        <w:t>差旅报销标准</w:t>
      </w:r>
    </w:p>
    <w:p>
      <w:r>
        <w:t>交通：飞机经济舱、高铁二等座，舱位升级需 VP 审批。</w:t>
      </w:r>
    </w:p>
    <w:p>
      <w:r>
        <w:t>住宿：一线城市 600 元/晚，其他城市 450 元/晚。</w:t>
      </w:r>
    </w:p>
    <w:p>
      <w:r>
        <w:t>餐饮补贴：出差期间 100 元/天，无需发票。</w:t>
      </w:r>
    </w:p>
    <w:p>
      <w:pPr>
        <w:pStyle w:val="Heading2"/>
      </w:pPr>
      <w:r>
        <w:t>特殊场景</w:t>
      </w:r>
    </w:p>
    <w:p>
      <w:r>
        <w:t>预付款：单笔超过 5000 元可向财务申请预付。</w:t>
      </w:r>
    </w:p>
    <w:p>
      <w:r>
        <w:t>跨年报销：必须在次年 1 月 15 日前提交。</w:t>
      </w:r>
    </w:p>
    <w:p>
      <w:r>
        <w:t>退款订单：需附退款凭证，冲减原报销金额。</w:t>
      </w:r>
    </w:p>
    <w:p>
      <w:pPr>
        <w:pStyle w:val="Heading2"/>
      </w:pPr>
      <w:r>
        <w:t>不予报销</w:t>
      </w:r>
    </w:p>
    <w:p>
      <w:r>
        <w:t>个人消费（烟酒、娱乐）、无票据支出、超出标准部分均不予报销，由个人承担。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