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报销制度</w:t>
      </w:r>
    </w:p>
    <w:p>
      <w:pPr>
        <w:pStyle w:val="Heading2"/>
      </w:pPr>
      <w:r>
        <w:t>发票要求</w:t>
      </w:r>
    </w:p>
    <w:p>
      <w:r>
        <w:t>报销需提供：发票原件（增值税普通发票或专用发票）、费用明细清单、部门审批单。</w:t>
      </w:r>
    </w:p>
    <w:p>
      <w:pPr>
        <w:pStyle w:val="Heading2"/>
      </w:pPr>
      <w:r>
        <w:t>审批流程</w:t>
      </w:r>
    </w:p>
    <w:p>
      <w:r>
        <w:t>员工提交报销单，直属主管审批，财务复核后打款，一般 5 个工作日到账。</w:t>
      </w:r>
    </w:p>
    <w:p>
      <w:pPr>
        <w:pStyle w:val="Heading2"/>
      </w:pPr>
      <w:r>
        <w:t>差旅报销</w:t>
      </w:r>
    </w:p>
    <w:p>
      <w:r>
        <w:t>出差交通、住宿按公司标准报销，需附行程单与发票。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