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报销制度</w:t>
      </w:r>
    </w:p>
    <w:p>
      <w:pPr>
        <w:pStyle w:val="Heading2"/>
      </w:pPr>
      <w:r>
        <w:t>适用范围</w:t>
      </w:r>
    </w:p>
    <w:p>
      <w:r>
        <w:t>本制度适用于员工因公司业务产生的差旅、办公采购、客户拜访、培训会议、团队活动等费用报销。个人消费、未经审批的费用、超出预算且无合理说明的费用，原则上不予报销。</w:t>
      </w:r>
    </w:p>
    <w:p>
      <w:pPr>
        <w:pStyle w:val="Heading2"/>
      </w:pPr>
      <w:r>
        <w:t>发票要求</w:t>
      </w:r>
    </w:p>
    <w:p>
      <w:r>
        <w:t>报销需提供发票原件或合规电子发票、费用明细清单、部门审批单。发票抬头必须为公司全称，税号填写正确，金额、日期、消费项目应与实际业务一致。电子发票需上传原始版式文件，截图、照片或重复打印件不能作为唯一凭证。</w:t>
      </w:r>
    </w:p>
    <w:p>
      <w:pPr>
        <w:pStyle w:val="Heading2"/>
      </w:pPr>
      <w:r>
        <w:t>审批流程</w:t>
      </w:r>
    </w:p>
    <w:p>
      <w:r>
        <w:t>员工在 OA 系统提交报销单后，直属主管审批业务真实性，部门负责人确认预算，财务部门复核发票和附件。材料齐全且无异常的，一般 5 个工作日内打款；月底提交或遇到发票核验异常的，可能顺延至次月处理。</w:t>
      </w:r>
    </w:p>
    <w:p>
      <w:pPr>
        <w:pStyle w:val="Heading2"/>
      </w:pPr>
      <w:r>
        <w:t>差旅报销</w:t>
      </w:r>
    </w:p>
    <w:p>
      <w:r>
        <w:t>出差交通、住宿、餐饮和必要市内交通可按公司标准报销。交通费用需附行程单或车票，住宿费用需附酒店水单和发票，客户拜访费用需注明客户名称、拜访目的和同行人员。</w:t>
      </w:r>
    </w:p>
    <w:p>
      <w:pPr>
        <w:pStyle w:val="Heading2"/>
      </w:pPr>
      <w:r>
        <w:t>特殊场景</w:t>
      </w:r>
    </w:p>
    <w:p>
      <w:r>
        <w:t>客户现场紧急支持、展会旺季酒店涨价、航班延误改签等特殊场景导致超标的，员工应在报销单中说明原因并上传证明材料。主管确认业务必要性后，财务按例外流程复核。</w:t>
      </w:r>
    </w:p>
    <w:p>
      <w:pPr>
        <w:pStyle w:val="Heading2"/>
      </w:pPr>
      <w:r>
        <w:t>退回与补充</w:t>
      </w:r>
    </w:p>
    <w:p>
      <w:r>
        <w:t>报销单被退回时，应根据财务备注补充发票、付款凭证、行程单、审批说明或费用明细。补充完成后重新提交原流程，不要重复创建多个报销单。超过 30 天未重新提交的，报销单将自动关闭。</w:t>
      </w:r>
    </w:p>
    <w:p>
      <w:pPr>
        <w:pStyle w:val="Heading2"/>
      </w:pPr>
      <w:r>
        <w:t>不予报销</w:t>
      </w:r>
    </w:p>
    <w:p>
      <w:r>
        <w:t>个人娱乐消费、无业务关系的礼品、酒水烟草、交通违章罚款、丢失票据且无法证明真实性的费用、未经审批的高额采购，均不予报销。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