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 GOOD TO GO — MEXICO MARKET ENTRY REPORT (Expanded)</w:t>
      </w:r>
    </w:p>
    <w:p>
      <w:r>
        <w:br w:type="page"/>
      </w:r>
    </w:p>
    <w:p>
      <w:pPr>
        <w:pStyle w:val="Heading1"/>
      </w:pPr>
      <w:r>
        <w:t>14. Competitive Landscape in Mexico — Entering with Cheaf Present</w:t>
      </w:r>
    </w:p>
    <w:p>
      <w:r>
        <w:rPr>
          <w:b/>
        </w:rPr>
        <w:t>Direct competitor: Cheaf (marketplace surprise-bag model)</w:t>
      </w:r>
    </w:p>
    <w:p>
      <w:r>
        <w:t>Model &amp; footprint: Cheaf runs a pickup‑only marketplace similar to TGTG (bolsas sorpresa at 50–70% off), onboarding bakeries, cafés, restaurants, and supermarkets. Public references cite 1M–3.5M users, 1,000–1,600 stores in Mexico, and presence from ~18 to 25 cities; expanding regionally.</w:t>
      </w:r>
    </w:p>
    <w:p>
      <w:r>
        <w:t>Partnership signals: Named partners include Maison Kayser, El Globo, Sanborns, Aranzazu; high sell‑through claims (e.g., 8/10 bags).</w:t>
      </w:r>
    </w:p>
    <w:p>
      <w:r>
        <w:rPr>
          <w:b/>
        </w:rPr>
        <w:t>Adjacent competitor: Kigüi (cashback &amp; B2B for supermarkets)</w:t>
      </w:r>
    </w:p>
    <w:p>
      <w:r>
        <w:t>Model: Initially consumer cashback (up to ~40–60% on near‑expiry products). In 2024–2025, pivoted emphasis to B2B/AI (Kigüi For Business) with retailers to monitor expiry and execute markdowns; backed by AWS Impact Accelerator and The Yield Lab Latam. Competes for supermarket surplus and brand mindshare, but not a 1:1 substitute for Surprise Bags.</w:t>
      </w:r>
    </w:p>
    <w:p>
      <w:r>
        <w:rPr>
          <w:b/>
        </w:rPr>
        <w:t>Our entry posture with Cheaf present</w:t>
      </w:r>
    </w:p>
    <w:p>
      <w:r>
        <w:t>• Chain-first: Secure multi‑city agreements with bakeries/supermarkets/hotels and provide enterprise impact dashboards (CO₂e, meals).</w:t>
      </w:r>
    </w:p>
    <w:p>
      <w:r>
        <w:t>• Ops &amp; quality: tighter pickup windows, issue‑rate guarantees, coaching to raise sell‑through; SLA-based merchant support via WhatsApp Business.</w:t>
      </w:r>
    </w:p>
    <w:p>
      <w:r>
        <w:t>• Surround strategy: anchor with supermarkets/hotel buffets, then densify SMB clusters around each anchor to boost consumer liquidity.</w:t>
      </w:r>
    </w:p>
    <w:p>
      <w:r>
        <w:t>• Pricing &amp; incentives: protect merchant margin; use time‑boxed promos at launch rather than permanent rate cuts.</w:t>
      </w:r>
    </w:p>
    <w:p>
      <w:r>
        <w:t>• PR &amp; mission: align with UNEP waste data and municipal goals; reinforce compliance (NOM‑051).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