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Segoe UI Emoji" w:cs="Segoe UI Emoji" w:eastAsia="Segoe UI Emoji" w:hAnsi="Segoe UI Emoji"/>
          <w:sz w:val="96"/>
          <w:szCs w:val="96"/>
        </w:rPr>
        <w:t xml:space="preserve">☕</w:t>
      </w:r>
    </w:p>
    <w:p>
      <w:pPr>
        <w:spacing w:after="240"/>
      </w:pPr>
    </w:p>
    <w:p>
      <w:pPr>
        <w:jc w:val="center"/>
      </w:pPr>
      <w:r>
        <w:rPr>
          <w:rFonts w:ascii="Arial" w:cs="Arial" w:eastAsia="Arial" w:hAnsi="Arial"/>
          <w:b/>
          <w:bCs/>
          <w:color w:val="3D2314"/>
          <w:sz w:val="52"/>
          <w:szCs w:val="52"/>
        </w:rPr>
        <w:t xml:space="preserve">AFFICIONADO COFFEE ROASTERS</w:t>
      </w:r>
    </w:p>
    <w:p>
      <w:pPr>
        <w:spacing w:after="80"/>
        <w:jc w:val="center"/>
      </w:pPr>
      <w:r>
        <w:rPr>
          <w:rFonts w:ascii="Arial" w:cs="Arial" w:eastAsia="Arial" w:hAnsi="Arial"/>
          <w:i/>
          <w:iCs/>
          <w:color w:val="6F4E37"/>
          <w:sz w:val="36"/>
          <w:szCs w:val="36"/>
        </w:rPr>
        <w:t xml:space="preserve">Sales Trend &amp; Time-Based Performance Analysis</w:t>
      </w:r>
    </w:p>
    <w:p>
      <w:pPr>
        <w:spacing w:after="600"/>
        <w:jc w:val="center"/>
      </w:pPr>
      <w:r>
        <w:rPr>
          <w:rFonts w:ascii="Arial" w:cs="Arial" w:eastAsia="Arial" w:hAnsi="Arial"/>
          <w:color w:val="888888"/>
          <w:sz w:val="24"/>
          <w:szCs w:val="24"/>
        </w:rPr>
        <w:t xml:space="preserve">Fiscal Year 2025 — Research Report</w:t>
      </w:r>
    </w:p>
    <w:p>
      <w:pPr>
        <w:pBdr>
          <w:bottom w:val="single" w:color="C8A97E" w:sz="6" w:space="1"/>
        </w:pBdr>
        <w:spacing w:after="200"/>
      </w:pP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DDDDDD" w:sz="1"/>
              <w:left w:val="single" w:color="DDDDDD" w:sz="1"/>
              <w:bottom w:val="single" w:color="DDDDDD" w:sz="1"/>
              <w:right w:val="single" w:color="DDDDDD" w:sz="1"/>
            </w:tcBorders>
            <w:shd w:fill="FAF7F2" w:val="clear"/>
            <w:tcMar>
              <w:top w:type="dxa" w:w="120"/>
              <w:left w:type="dxa" w:w="160"/>
              <w:bottom w:type="dxa" w:w="120"/>
              <w:right w:type="dxa" w:w="160"/>
            </w:tcMar>
            <w:vAlign w:val="center"/>
          </w:tcPr>
          <w:p>
            <w:pPr>
              <w:jc w:val="center"/>
            </w:pPr>
            <w:r>
              <w:rPr>
                <w:rFonts w:ascii="Arial" w:cs="Arial" w:eastAsia="Arial" w:hAnsi="Arial"/>
                <w:b/>
                <w:bCs/>
                <w:color w:val="6F4E37"/>
                <w:sz w:val="36"/>
                <w:szCs w:val="36"/>
              </w:rPr>
              <w:t xml:space="preserve">$698,812</w:t>
            </w:r>
          </w:p>
          <w:p>
            <w:pPr>
              <w:jc w:val="center"/>
            </w:pPr>
            <w:r>
              <w:rPr>
                <w:rFonts w:ascii="Arial" w:cs="Arial" w:eastAsia="Arial" w:hAnsi="Arial"/>
                <w:color w:val="666666"/>
                <w:sz w:val="18"/>
                <w:szCs w:val="18"/>
              </w:rPr>
              <w:t xml:space="preserve">Total Revenue</w:t>
            </w:r>
          </w:p>
          <w:p>
            <w:pPr>
              <w:jc w:val="center"/>
            </w:pPr>
            <w:r>
              <w:rPr>
                <w:rFonts w:ascii="Arial" w:cs="Arial" w:eastAsia="Arial" w:hAnsi="Arial"/>
                <w:i/>
                <w:iCs/>
                <w:color w:val="888888"/>
                <w:sz w:val="16"/>
                <w:szCs w:val="16"/>
              </w:rPr>
              <w:t xml:space="preserve">FY 2025</w:t>
            </w:r>
          </w:p>
        </w:tc>
        <w:tc>
          <w:tcPr>
            <w:tcW w:type="dxa" w:w="2200"/>
            <w:tcBorders>
              <w:top w:val="single" w:color="DDDDDD" w:sz="1"/>
              <w:left w:val="single" w:color="DDDDDD" w:sz="1"/>
              <w:bottom w:val="single" w:color="DDDDDD" w:sz="1"/>
              <w:right w:val="single" w:color="DDDDDD" w:sz="1"/>
            </w:tcBorders>
            <w:shd w:fill="FAF7F2" w:val="clear"/>
            <w:tcMar>
              <w:top w:type="dxa" w:w="120"/>
              <w:left w:type="dxa" w:w="160"/>
              <w:bottom w:type="dxa" w:w="120"/>
              <w:right w:type="dxa" w:w="160"/>
            </w:tcMar>
            <w:vAlign w:val="center"/>
          </w:tcPr>
          <w:p>
            <w:pPr>
              <w:jc w:val="center"/>
            </w:pPr>
            <w:r>
              <w:rPr>
                <w:rFonts w:ascii="Arial" w:cs="Arial" w:eastAsia="Arial" w:hAnsi="Arial"/>
                <w:b/>
                <w:bCs/>
                <w:color w:val="6F4E37"/>
                <w:sz w:val="36"/>
                <w:szCs w:val="36"/>
              </w:rPr>
              <w:t xml:space="preserve">149,116</w:t>
            </w:r>
          </w:p>
          <w:p>
            <w:pPr>
              <w:jc w:val="center"/>
            </w:pPr>
            <w:r>
              <w:rPr>
                <w:rFonts w:ascii="Arial" w:cs="Arial" w:eastAsia="Arial" w:hAnsi="Arial"/>
                <w:color w:val="666666"/>
                <w:sz w:val="18"/>
                <w:szCs w:val="18"/>
              </w:rPr>
              <w:t xml:space="preserve">Transactions</w:t>
            </w:r>
          </w:p>
          <w:p>
            <w:pPr>
              <w:jc w:val="center"/>
            </w:pPr>
            <w:r>
              <w:rPr>
                <w:rFonts w:ascii="Arial" w:cs="Arial" w:eastAsia="Arial" w:hAnsi="Arial"/>
                <w:i/>
                <w:iCs/>
                <w:color w:val="888888"/>
                <w:sz w:val="16"/>
                <w:szCs w:val="16"/>
              </w:rPr>
              <w:t xml:space="preserve">3 Locations</w:t>
            </w:r>
          </w:p>
        </w:tc>
        <w:tc>
          <w:tcPr>
            <w:tcW w:type="dxa" w:w="2200"/>
            <w:tcBorders>
              <w:top w:val="single" w:color="DDDDDD" w:sz="1"/>
              <w:left w:val="single" w:color="DDDDDD" w:sz="1"/>
              <w:bottom w:val="single" w:color="DDDDDD" w:sz="1"/>
              <w:right w:val="single" w:color="DDDDDD" w:sz="1"/>
            </w:tcBorders>
            <w:shd w:fill="FAF7F2" w:val="clear"/>
            <w:tcMar>
              <w:top w:type="dxa" w:w="120"/>
              <w:left w:type="dxa" w:w="160"/>
              <w:bottom w:type="dxa" w:w="120"/>
              <w:right w:type="dxa" w:w="160"/>
            </w:tcMar>
            <w:vAlign w:val="center"/>
          </w:tcPr>
          <w:p>
            <w:pPr>
              <w:jc w:val="center"/>
            </w:pPr>
            <w:r>
              <w:rPr>
                <w:rFonts w:ascii="Arial" w:cs="Arial" w:eastAsia="Arial" w:hAnsi="Arial"/>
                <w:b/>
                <w:bCs/>
                <w:color w:val="6F4E37"/>
                <w:sz w:val="36"/>
                <w:szCs w:val="36"/>
              </w:rPr>
              <w:t xml:space="preserve">10:00 AM</w:t>
            </w:r>
          </w:p>
          <w:p>
            <w:pPr>
              <w:jc w:val="center"/>
            </w:pPr>
            <w:r>
              <w:rPr>
                <w:rFonts w:ascii="Arial" w:cs="Arial" w:eastAsia="Arial" w:hAnsi="Arial"/>
                <w:color w:val="666666"/>
                <w:sz w:val="18"/>
                <w:szCs w:val="18"/>
              </w:rPr>
              <w:t xml:space="preserve">Peak Hour</w:t>
            </w:r>
          </w:p>
          <w:p>
            <w:pPr>
              <w:jc w:val="center"/>
            </w:pPr>
            <w:r>
              <w:rPr>
                <w:rFonts w:ascii="Arial" w:cs="Arial" w:eastAsia="Arial" w:hAnsi="Arial"/>
                <w:i/>
                <w:iCs/>
                <w:color w:val="888888"/>
                <w:sz w:val="16"/>
                <w:szCs w:val="16"/>
              </w:rPr>
              <w:t xml:space="preserve">All Stores</w:t>
            </w:r>
          </w:p>
        </w:tc>
        <w:tc>
          <w:tcPr>
            <w:tcW w:type="dxa" w:w="2200"/>
            <w:tcBorders>
              <w:top w:val="single" w:color="DDDDDD" w:sz="1"/>
              <w:left w:val="single" w:color="DDDDDD" w:sz="1"/>
              <w:bottom w:val="single" w:color="DDDDDD" w:sz="1"/>
              <w:right w:val="single" w:color="DDDDDD" w:sz="1"/>
            </w:tcBorders>
            <w:shd w:fill="FAF7F2" w:val="clear"/>
            <w:tcMar>
              <w:top w:type="dxa" w:w="120"/>
              <w:left w:type="dxa" w:w="160"/>
              <w:bottom w:type="dxa" w:w="120"/>
              <w:right w:type="dxa" w:w="160"/>
            </w:tcMar>
            <w:vAlign w:val="center"/>
          </w:tcPr>
          <w:p>
            <w:pPr>
              <w:jc w:val="center"/>
            </w:pPr>
            <w:r>
              <w:rPr>
                <w:rFonts w:ascii="Arial" w:cs="Arial" w:eastAsia="Arial" w:hAnsi="Arial"/>
                <w:b/>
                <w:bCs/>
                <w:color w:val="6F4E37"/>
                <w:sz w:val="36"/>
                <w:szCs w:val="36"/>
              </w:rPr>
              <w:t xml:space="preserve">$4.69</w:t>
            </w:r>
          </w:p>
          <w:p>
            <w:pPr>
              <w:jc w:val="center"/>
            </w:pPr>
            <w:r>
              <w:rPr>
                <w:rFonts w:ascii="Arial" w:cs="Arial" w:eastAsia="Arial" w:hAnsi="Arial"/>
                <w:color w:val="666666"/>
                <w:sz w:val="18"/>
                <w:szCs w:val="18"/>
              </w:rPr>
              <w:t xml:space="preserve">Avg Sale Value</w:t>
            </w:r>
          </w:p>
          <w:p>
            <w:pPr>
              <w:jc w:val="center"/>
            </w:pPr>
            <w:r>
              <w:rPr>
                <w:rFonts w:ascii="Arial" w:cs="Arial" w:eastAsia="Arial" w:hAnsi="Arial"/>
                <w:i/>
                <w:iCs/>
                <w:color w:val="888888"/>
                <w:sz w:val="16"/>
                <w:szCs w:val="16"/>
              </w:rPr>
              <w:t xml:space="preserve">Per Transaction</w:t>
            </w:r>
          </w:p>
        </w:tc>
      </w:tr>
    </w:tbl>
    <w:p>
      <w:pPr>
        <w:spacing w:before="600"/>
      </w:pPr>
    </w:p>
    <w:p>
      <w:pPr>
        <w:jc w:val="center"/>
      </w:pPr>
      <w:r>
        <w:rPr>
          <w:rFonts w:ascii="Arial" w:cs="Arial" w:eastAsia="Arial" w:hAnsi="Arial"/>
          <w:color w:val="AAAAAA"/>
          <w:sz w:val="18"/>
          <w:szCs w:val="18"/>
        </w:rPr>
        <w:t xml:space="preserve">Prepared by: Analytics Team  —  Date: 2025  —  Confidential</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3D2314"/>
          <w:sz w:val="36"/>
          <w:szCs w:val="36"/>
        </w:rPr>
        <w:t xml:space="preserve">1. Executive Summary</w:t>
      </w:r>
    </w:p>
    <w:p>
      <w:pPr>
        <w:pBdr>
          <w:bottom w:val="single" w:color="C8A97E" w:sz="6" w:space="1"/>
        </w:pBdr>
        <w:spacing w:after="200"/>
      </w:pPr>
    </w:p>
    <w:p>
      <w:pPr>
        <w:spacing w:after="160"/>
        <w:jc w:val="both"/>
      </w:pPr>
      <w:r>
        <w:rPr>
          <w:rFonts w:ascii="Arial" w:cs="Arial" w:eastAsia="Arial" w:hAnsi="Arial"/>
          <w:color w:val="222222"/>
          <w:sz w:val="22"/>
          <w:szCs w:val="22"/>
        </w:rPr>
        <w:t xml:space="preserve">This report presents a comprehensive Sales Trend and Time-Based Performance Analysis for Afficionado Coffee Roasters, covering all 149,116 transactions recorded across three New York City store locations in 2025. The analysis transforms raw transaction data into actionable intelligence for operational planning, workforce management, and revenue optimization.</w:t>
      </w:r>
    </w:p>
    <w:p>
      <w:pPr>
        <w:spacing w:after="160"/>
        <w:jc w:val="both"/>
      </w:pPr>
      <w:r>
        <w:rPr>
          <w:rFonts w:ascii="Arial" w:cs="Arial" w:eastAsia="Arial" w:hAnsi="Arial"/>
          <w:color w:val="222222"/>
          <w:sz w:val="22"/>
          <w:szCs w:val="22"/>
        </w:rPr>
        <w:t xml:space="preserve">Key findings reveal that morning hours (6:00 AM – 11:00 AM) drive 55.6% of total annual revenue at $388,289, with a universal peak at 10:00 AM across all locations. Revenue is distributed near-equally across stores: Hell’s Kitchen ($236,511 — 33.8%), Astoria ($232,244 — 33.2%), and Lower Manhattan ($230,057 — 32.9%). Coffee remains the dominant product category at $269,952 (38.6% of revenue), followed by Tea at $196,406.</w:t>
      </w:r>
    </w:p>
    <w:p/>
    <w:p>
      <w:pPr>
        <w:pStyle w:val="Heading1"/>
        <w:spacing w:after="160" w:before="320"/>
      </w:pPr>
      <w:r>
        <w:rPr>
          <w:rFonts w:ascii="Arial" w:cs="Arial" w:eastAsia="Arial" w:hAnsi="Arial"/>
          <w:b/>
          <w:bCs/>
          <w:color w:val="3D2314"/>
          <w:sz w:val="36"/>
          <w:szCs w:val="36"/>
        </w:rPr>
        <w:t xml:space="preserve">2. Introduction</w:t>
      </w:r>
    </w:p>
    <w:p>
      <w:pPr>
        <w:pBdr>
          <w:bottom w:val="single" w:color="C8A97E" w:sz="6" w:space="1"/>
        </w:pBdr>
        <w:spacing w:after="200"/>
      </w:pPr>
    </w:p>
    <w:p>
      <w:pPr>
        <w:pStyle w:val="Heading2"/>
        <w:spacing w:after="120" w:before="240"/>
      </w:pPr>
      <w:r>
        <w:rPr>
          <w:rFonts w:ascii="Arial" w:cs="Arial" w:eastAsia="Arial" w:hAnsi="Arial"/>
          <w:b/>
          <w:bCs/>
          <w:color w:val="6F4E37"/>
          <w:sz w:val="28"/>
          <w:szCs w:val="28"/>
        </w:rPr>
        <w:t xml:space="preserve">2.1 Background</w:t>
      </w:r>
    </w:p>
    <w:p>
      <w:pPr>
        <w:spacing w:after="160"/>
        <w:jc w:val="both"/>
      </w:pPr>
      <w:r>
        <w:rPr>
          <w:rFonts w:ascii="Arial" w:cs="Arial" w:eastAsia="Arial" w:hAnsi="Arial"/>
          <w:color w:val="222222"/>
          <w:sz w:val="22"/>
          <w:szCs w:val="22"/>
        </w:rPr>
        <w:t xml:space="preserve">In specialty coffee retail, when sales occur is as strategically important as what is sold. Afficionado Coffee Roasters operates three locations across New York City and processes an average of approximately 816 transactions per day across all stores combined. Despite this volume, operational decisions have historically relied on experience-based intuition rather than quantitative evidence.</w:t>
      </w:r>
    </w:p>
    <w:p>
      <w:pPr>
        <w:pStyle w:val="Heading2"/>
        <w:spacing w:after="120" w:before="240"/>
      </w:pPr>
      <w:r>
        <w:rPr>
          <w:rFonts w:ascii="Arial" w:cs="Arial" w:eastAsia="Arial" w:hAnsi="Arial"/>
          <w:b/>
          <w:bCs/>
          <w:color w:val="6F4E37"/>
          <w:sz w:val="28"/>
          <w:szCs w:val="28"/>
        </w:rPr>
        <w:t xml:space="preserve">2.2 Problem Statement</w:t>
      </w:r>
    </w:p>
    <w:p>
      <w:pPr>
        <w:spacing w:after="160"/>
        <w:jc w:val="both"/>
      </w:pPr>
      <w:r>
        <w:rPr>
          <w:rFonts w:ascii="Arial" w:cs="Arial" w:eastAsia="Arial" w:hAnsi="Arial"/>
          <w:color w:val="222222"/>
          <w:sz w:val="22"/>
          <w:szCs w:val="22"/>
        </w:rPr>
        <w:t xml:space="preserve">Without structured temporal analytics, the business faces four key operational risks:</w:t>
      </w:r>
    </w:p>
    <w:p>
      <w:pPr>
        <w:pStyle w:val="ListParagraph"/>
        <w:numPr>
          <w:ilvl w:val="0"/>
          <w:numId w:val="2"/>
        </w:numPr>
        <w:spacing w:after="100"/>
      </w:pPr>
      <w:r>
        <w:rPr>
          <w:rFonts w:ascii="Arial" w:cs="Arial" w:eastAsia="Arial" w:hAnsi="Arial"/>
          <w:color w:val="222222"/>
          <w:sz w:val="22"/>
          <w:szCs w:val="22"/>
        </w:rPr>
        <w:t xml:space="preserve">Overstaffing during slow afternoon and evening hours, inflating labor costs</w:t>
      </w:r>
    </w:p>
    <w:p>
      <w:pPr>
        <w:pStyle w:val="ListParagraph"/>
        <w:numPr>
          <w:ilvl w:val="0"/>
          <w:numId w:val="2"/>
        </w:numPr>
        <w:spacing w:after="100"/>
      </w:pPr>
      <w:r>
        <w:rPr>
          <w:rFonts w:ascii="Arial" w:cs="Arial" w:eastAsia="Arial" w:hAnsi="Arial"/>
          <w:color w:val="222222"/>
          <w:sz w:val="22"/>
          <w:szCs w:val="22"/>
        </w:rPr>
        <w:t xml:space="preserve">Understaffing during the 8:00 AM–11:00 AM morning rush, degrading customer experience</w:t>
      </w:r>
    </w:p>
    <w:p>
      <w:pPr>
        <w:pStyle w:val="ListParagraph"/>
        <w:numPr>
          <w:ilvl w:val="0"/>
          <w:numId w:val="2"/>
        </w:numPr>
        <w:spacing w:after="100"/>
      </w:pPr>
      <w:r>
        <w:rPr>
          <w:rFonts w:ascii="Arial" w:cs="Arial" w:eastAsia="Arial" w:hAnsi="Arial"/>
          <w:color w:val="222222"/>
          <w:sz w:val="22"/>
          <w:szCs w:val="22"/>
        </w:rPr>
        <w:t xml:space="preserve">Inability to compare store-level performance and identify location-specific patterns</w:t>
      </w:r>
    </w:p>
    <w:p>
      <w:pPr>
        <w:pStyle w:val="ListParagraph"/>
        <w:numPr>
          <w:ilvl w:val="0"/>
          <w:numId w:val="2"/>
        </w:numPr>
        <w:spacing w:after="100"/>
      </w:pPr>
      <w:r>
        <w:rPr>
          <w:rFonts w:ascii="Arial" w:cs="Arial" w:eastAsia="Arial" w:hAnsi="Arial"/>
          <w:color w:val="222222"/>
          <w:sz w:val="22"/>
          <w:szCs w:val="22"/>
        </w:rPr>
        <w:t xml:space="preserve">Missed opportunities to align product promotions with peak demand windows</w:t>
      </w:r>
    </w:p>
    <w:p>
      <w:pPr>
        <w:spacing w:after="200"/>
      </w:pPr>
    </w:p>
    <w:p>
      <w:pPr>
        <w:pStyle w:val="Heading2"/>
        <w:spacing w:after="120" w:before="240"/>
      </w:pPr>
      <w:r>
        <w:rPr>
          <w:rFonts w:ascii="Arial" w:cs="Arial" w:eastAsia="Arial" w:hAnsi="Arial"/>
          <w:b/>
          <w:bCs/>
          <w:color w:val="6F4E37"/>
          <w:sz w:val="28"/>
          <w:szCs w:val="28"/>
        </w:rPr>
        <w:t xml:space="preserve">2.3 Objectives</w:t>
      </w:r>
    </w:p>
    <w:p>
      <w:pPr>
        <w:spacing w:after="160"/>
        <w:jc w:val="both"/>
      </w:pPr>
      <w:r>
        <w:rPr>
          <w:rFonts w:ascii="Arial" w:cs="Arial" w:eastAsia="Arial" w:hAnsi="Arial"/>
          <w:color w:val="222222"/>
          <w:sz w:val="22"/>
          <w:szCs w:val="22"/>
        </w:rPr>
        <w:t xml:space="preserve">Primary objectives of this analysis:</w:t>
      </w:r>
    </w:p>
    <w:p>
      <w:pPr>
        <w:pStyle w:val="ListParagraph"/>
        <w:numPr>
          <w:ilvl w:val="0"/>
          <w:numId w:val="2"/>
        </w:numPr>
        <w:spacing w:after="100"/>
      </w:pPr>
      <w:r>
        <w:rPr>
          <w:rFonts w:ascii="Arial" w:cs="Arial" w:eastAsia="Arial" w:hAnsi="Arial"/>
          <w:color w:val="222222"/>
          <w:sz w:val="22"/>
          <w:szCs w:val="22"/>
        </w:rPr>
        <w:t xml:space="preserve">Identify overall revenue and transaction trends across 2025</w:t>
      </w:r>
    </w:p>
    <w:p>
      <w:pPr>
        <w:pStyle w:val="ListParagraph"/>
        <w:numPr>
          <w:ilvl w:val="0"/>
          <w:numId w:val="2"/>
        </w:numPr>
        <w:spacing w:after="100"/>
      </w:pPr>
      <w:r>
        <w:rPr>
          <w:rFonts w:ascii="Arial" w:cs="Arial" w:eastAsia="Arial" w:hAnsi="Arial"/>
          <w:color w:val="222222"/>
          <w:sz w:val="22"/>
          <w:szCs w:val="22"/>
        </w:rPr>
        <w:t xml:space="preserve">Determine peak and off-peak hours of day across all stores</w:t>
      </w:r>
    </w:p>
    <w:p>
      <w:pPr>
        <w:pStyle w:val="ListParagraph"/>
        <w:numPr>
          <w:ilvl w:val="0"/>
          <w:numId w:val="2"/>
        </w:numPr>
        <w:spacing w:after="100"/>
      </w:pPr>
      <w:r>
        <w:rPr>
          <w:rFonts w:ascii="Arial" w:cs="Arial" w:eastAsia="Arial" w:hAnsi="Arial"/>
          <w:color w:val="222222"/>
          <w:sz w:val="22"/>
          <w:szCs w:val="22"/>
        </w:rPr>
        <w:t xml:space="preserve">Quantify time-bucket (morning / afternoon / evening) revenue contribution</w:t>
      </w:r>
    </w:p>
    <w:p>
      <w:pPr>
        <w:spacing w:after="160"/>
        <w:jc w:val="both"/>
      </w:pPr>
      <w:r>
        <w:rPr>
          <w:rFonts w:ascii="Arial" w:cs="Arial" w:eastAsia="Arial" w:hAnsi="Arial"/>
          <w:color w:val="222222"/>
          <w:sz w:val="22"/>
          <w:szCs w:val="22"/>
        </w:rPr>
        <w:t xml:space="preserve">Secondary objectives:</w:t>
      </w:r>
    </w:p>
    <w:p>
      <w:pPr>
        <w:pStyle w:val="ListParagraph"/>
        <w:numPr>
          <w:ilvl w:val="0"/>
          <w:numId w:val="2"/>
        </w:numPr>
        <w:spacing w:after="100"/>
      </w:pPr>
      <w:r>
        <w:rPr>
          <w:rFonts w:ascii="Arial" w:cs="Arial" w:eastAsia="Arial" w:hAnsi="Arial"/>
          <w:color w:val="222222"/>
          <w:sz w:val="22"/>
          <w:szCs w:val="22"/>
        </w:rPr>
        <w:t xml:space="preserve">Compare temporal demand patterns across the three store locations</w:t>
      </w:r>
    </w:p>
    <w:p>
      <w:pPr>
        <w:pStyle w:val="ListParagraph"/>
        <w:numPr>
          <w:ilvl w:val="0"/>
          <w:numId w:val="2"/>
        </w:numPr>
        <w:spacing w:after="100"/>
      </w:pPr>
      <w:r>
        <w:rPr>
          <w:rFonts w:ascii="Arial" w:cs="Arial" w:eastAsia="Arial" w:hAnsi="Arial"/>
          <w:color w:val="222222"/>
          <w:sz w:val="22"/>
          <w:szCs w:val="22"/>
        </w:rPr>
        <w:t xml:space="preserve">Provide evidence-based staffing and scheduling recommendations</w:t>
      </w:r>
    </w:p>
    <w:p>
      <w:pPr>
        <w:pStyle w:val="ListParagraph"/>
        <w:numPr>
          <w:ilvl w:val="0"/>
          <w:numId w:val="2"/>
        </w:numPr>
        <w:spacing w:after="100"/>
      </w:pPr>
      <w:r>
        <w:rPr>
          <w:rFonts w:ascii="Arial" w:cs="Arial" w:eastAsia="Arial" w:hAnsi="Arial"/>
          <w:color w:val="222222"/>
          <w:sz w:val="22"/>
          <w:szCs w:val="22"/>
        </w:rPr>
        <w:t xml:space="preserve">Identify top-performing product categories and their temporal demand patterns</w:t>
      </w:r>
    </w:p>
    <w:p>
      <w:r>
        <w:br w:type="page"/>
      </w:r>
    </w:p>
    <w:p>
      <w:pPr>
        <w:pStyle w:val="Heading1"/>
        <w:spacing w:after="160" w:before="320"/>
      </w:pPr>
      <w:r>
        <w:rPr>
          <w:rFonts w:ascii="Arial" w:cs="Arial" w:eastAsia="Arial" w:hAnsi="Arial"/>
          <w:b/>
          <w:bCs/>
          <w:color w:val="3D2314"/>
          <w:sz w:val="36"/>
          <w:szCs w:val="36"/>
        </w:rPr>
        <w:t xml:space="preserve">3. Data Description &amp; Methodology</w:t>
      </w:r>
    </w:p>
    <w:p>
      <w:pPr>
        <w:pBdr>
          <w:bottom w:val="single" w:color="C8A97E" w:sz="6" w:space="1"/>
        </w:pBdr>
        <w:spacing w:after="200"/>
      </w:pPr>
    </w:p>
    <w:p>
      <w:pPr>
        <w:pStyle w:val="Heading2"/>
        <w:spacing w:after="120" w:before="240"/>
      </w:pPr>
      <w:r>
        <w:rPr>
          <w:rFonts w:ascii="Arial" w:cs="Arial" w:eastAsia="Arial" w:hAnsi="Arial"/>
          <w:b/>
          <w:bCs/>
          <w:color w:val="6F4E37"/>
          <w:sz w:val="28"/>
          <w:szCs w:val="28"/>
        </w:rPr>
        <w:t xml:space="preserve">3.1 Dataset Overview</w:t>
      </w:r>
    </w:p>
    <w:p>
      <w:pPr>
        <w:spacing w:after="160"/>
        <w:jc w:val="both"/>
      </w:pPr>
      <w:r>
        <w:rPr>
          <w:rFonts w:ascii="Arial" w:cs="Arial" w:eastAsia="Arial" w:hAnsi="Arial"/>
          <w:color w:val="222222"/>
          <w:sz w:val="22"/>
          <w:szCs w:val="22"/>
        </w:rPr>
        <w:t xml:space="preserve">The dataset contains 149,116 transaction records spanning all of 2025. Each record includes a unique transaction ID, timestamp (HH:MM:SS), quantity purchased, unit price, store identifier and location, and product taxonomy (category, type, and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340"/>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680"/>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transaction_id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Integer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Unique transaction identifier</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transaction_time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String (HH:MM:SS)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Time of purchase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transaction_qty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Integer (1–8)</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Quantity of items purchased</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unit_price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Float ($0.80–$45)</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Price per unit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store_location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String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Hell’s Kitchen, Astoria, Lower Manhattan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product_category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String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 product categories</w:t>
            </w:r>
          </w:p>
        </w:tc>
      </w:tr>
    </w:tbl>
    <w:p>
      <w:pPr>
        <w:spacing w:after="200"/>
      </w:pPr>
    </w:p>
    <w:p>
      <w:pPr>
        <w:pStyle w:val="Heading2"/>
        <w:spacing w:after="120" w:before="240"/>
      </w:pPr>
      <w:r>
        <w:rPr>
          <w:rFonts w:ascii="Arial" w:cs="Arial" w:eastAsia="Arial" w:hAnsi="Arial"/>
          <w:b/>
          <w:bCs/>
          <w:color w:val="6F4E37"/>
          <w:sz w:val="28"/>
          <w:szCs w:val="28"/>
        </w:rPr>
        <w:t xml:space="preserve">3.2 Data Validation Results</w:t>
      </w:r>
    </w:p>
    <w:p>
      <w:pPr>
        <w:spacing w:after="160"/>
        <w:jc w:val="both"/>
      </w:pPr>
      <w:r>
        <w:rPr>
          <w:rFonts w:ascii="Arial" w:cs="Arial" w:eastAsia="Arial" w:hAnsi="Arial"/>
          <w:color w:val="222222"/>
          <w:sz w:val="22"/>
          <w:szCs w:val="22"/>
        </w:rPr>
        <w:t xml:space="preserve">A comprehensive validation pass was conducted prior to analysis:</w:t>
      </w:r>
    </w:p>
    <w:p>
      <w:pPr>
        <w:pStyle w:val="ListParagraph"/>
        <w:numPr>
          <w:ilvl w:val="0"/>
          <w:numId w:val="2"/>
        </w:numPr>
        <w:spacing w:after="100"/>
      </w:pPr>
      <w:r>
        <w:rPr>
          <w:rFonts w:ascii="Arial" w:cs="Arial" w:eastAsia="Arial" w:hAnsi="Arial"/>
          <w:color w:val="222222"/>
          <w:sz w:val="22"/>
          <w:szCs w:val="22"/>
        </w:rPr>
        <w:t xml:space="preserve">Missing values: Zero missing values across all 11 columns</w:t>
      </w:r>
    </w:p>
    <w:p>
      <w:pPr>
        <w:pStyle w:val="ListParagraph"/>
        <w:numPr>
          <w:ilvl w:val="0"/>
          <w:numId w:val="2"/>
        </w:numPr>
        <w:spacing w:after="100"/>
      </w:pPr>
      <w:r>
        <w:rPr>
          <w:rFonts w:ascii="Arial" w:cs="Arial" w:eastAsia="Arial" w:hAnsi="Arial"/>
          <w:color w:val="222222"/>
          <w:sz w:val="22"/>
          <w:szCs w:val="22"/>
        </w:rPr>
        <w:t xml:space="preserve">Duplicate transactions: Zero duplicate transaction IDs detected</w:t>
      </w:r>
    </w:p>
    <w:p>
      <w:pPr>
        <w:pStyle w:val="ListParagraph"/>
        <w:numPr>
          <w:ilvl w:val="0"/>
          <w:numId w:val="2"/>
        </w:numPr>
        <w:spacing w:after="100"/>
      </w:pPr>
      <w:r>
        <w:rPr>
          <w:rFonts w:ascii="Arial" w:cs="Arial" w:eastAsia="Arial" w:hAnsi="Arial"/>
          <w:color w:val="222222"/>
          <w:sz w:val="22"/>
          <w:szCs w:val="22"/>
        </w:rPr>
        <w:t xml:space="preserve">Quantity range: 1–8 items per transaction (all positive, logically consistent)</w:t>
      </w:r>
    </w:p>
    <w:p>
      <w:pPr>
        <w:pStyle w:val="ListParagraph"/>
        <w:numPr>
          <w:ilvl w:val="0"/>
          <w:numId w:val="2"/>
        </w:numPr>
        <w:spacing w:after="100"/>
      </w:pPr>
      <w:r>
        <w:rPr>
          <w:rFonts w:ascii="Arial" w:cs="Arial" w:eastAsia="Arial" w:hAnsi="Arial"/>
          <w:color w:val="222222"/>
          <w:sz w:val="22"/>
          <w:szCs w:val="22"/>
        </w:rPr>
        <w:t xml:space="preserve">Price range: $0.80–$45.00 per unit (consistent with specialty coffee retail pricing)</w:t>
      </w:r>
    </w:p>
    <w:p>
      <w:pPr>
        <w:pStyle w:val="ListParagraph"/>
        <w:numPr>
          <w:ilvl w:val="0"/>
          <w:numId w:val="2"/>
        </w:numPr>
        <w:spacing w:after="100"/>
      </w:pPr>
      <w:r>
        <w:rPr>
          <w:rFonts w:ascii="Arial" w:cs="Arial" w:eastAsia="Arial" w:hAnsi="Arial"/>
          <w:color w:val="222222"/>
          <w:sz w:val="22"/>
          <w:szCs w:val="22"/>
        </w:rPr>
        <w:t xml:space="preserve">Store coverage: Hell’s Kitchen (50,735 txns), Astoria (50,599 txns), Lower Manhattan (47,782 txns)</w:t>
      </w:r>
    </w:p>
    <w:p>
      <w:pPr>
        <w:pStyle w:val="Heading2"/>
        <w:spacing w:after="120" w:before="240"/>
      </w:pPr>
      <w:r>
        <w:rPr>
          <w:rFonts w:ascii="Arial" w:cs="Arial" w:eastAsia="Arial" w:hAnsi="Arial"/>
          <w:b/>
          <w:bCs/>
          <w:color w:val="6F4E37"/>
          <w:sz w:val="28"/>
          <w:szCs w:val="28"/>
        </w:rPr>
        <w:t xml:space="preserve">3.3 Feature Engineering</w:t>
      </w:r>
    </w:p>
    <w:p>
      <w:pPr>
        <w:spacing w:after="160"/>
        <w:jc w:val="both"/>
      </w:pPr>
      <w:r>
        <w:rPr>
          <w:rFonts w:ascii="Arial" w:cs="Arial" w:eastAsia="Arial" w:hAnsi="Arial"/>
          <w:color w:val="222222"/>
          <w:sz w:val="22"/>
          <w:szCs w:val="22"/>
        </w:rPr>
        <w:t xml:space="preserve">The following derived features were created from the raw data:</w:t>
      </w:r>
    </w:p>
    <w:p>
      <w:pPr>
        <w:pStyle w:val="ListParagraph"/>
        <w:numPr>
          <w:ilvl w:val="0"/>
          <w:numId w:val="2"/>
        </w:numPr>
        <w:spacing w:after="100"/>
      </w:pPr>
      <w:r>
        <w:rPr>
          <w:rFonts w:ascii="Arial" w:cs="Arial" w:eastAsia="Arial" w:hAnsi="Arial"/>
          <w:color w:val="222222"/>
          <w:sz w:val="22"/>
          <w:szCs w:val="22"/>
        </w:rPr>
        <w:t xml:space="preserve">Revenue per transaction: transaction_qty × unit_price</w:t>
      </w:r>
    </w:p>
    <w:p>
      <w:pPr>
        <w:pStyle w:val="ListParagraph"/>
        <w:numPr>
          <w:ilvl w:val="0"/>
          <w:numId w:val="2"/>
        </w:numPr>
        <w:spacing w:after="100"/>
      </w:pPr>
      <w:r>
        <w:rPr>
          <w:rFonts w:ascii="Arial" w:cs="Arial" w:eastAsia="Arial" w:hAnsi="Arial"/>
          <w:color w:val="222222"/>
          <w:sz w:val="22"/>
          <w:szCs w:val="22"/>
        </w:rPr>
        <w:t xml:space="preserve">Hour of day: integer 0–23, extracted from transaction_time</w:t>
      </w:r>
    </w:p>
    <w:p>
      <w:pPr>
        <w:pStyle w:val="ListParagraph"/>
        <w:numPr>
          <w:ilvl w:val="0"/>
          <w:numId w:val="2"/>
        </w:numPr>
        <w:spacing w:after="100"/>
      </w:pPr>
      <w:r>
        <w:rPr>
          <w:rFonts w:ascii="Arial" w:cs="Arial" w:eastAsia="Arial" w:hAnsi="Arial"/>
          <w:color w:val="222222"/>
          <w:sz w:val="22"/>
          <w:szCs w:val="22"/>
        </w:rPr>
        <w:t xml:space="preserve">Time bucket classification: Morning (6–11), Afternoon (12–16), Evening (17–21), Late/Early (22–5)</w:t>
      </w:r>
    </w:p>
    <w:p>
      <w:r>
        <w:br w:type="page"/>
      </w:r>
    </w:p>
    <w:p>
      <w:pPr>
        <w:pStyle w:val="Heading1"/>
        <w:spacing w:after="160" w:before="320"/>
      </w:pPr>
      <w:r>
        <w:rPr>
          <w:rFonts w:ascii="Arial" w:cs="Arial" w:eastAsia="Arial" w:hAnsi="Arial"/>
          <w:b/>
          <w:bCs/>
          <w:color w:val="3D2314"/>
          <w:sz w:val="36"/>
          <w:szCs w:val="36"/>
        </w:rPr>
        <w:t xml:space="preserve">4. Key Findings &amp; Analysis</w:t>
      </w:r>
    </w:p>
    <w:p>
      <w:pPr>
        <w:pBdr>
          <w:bottom w:val="single" w:color="C8A97E" w:sz="6" w:space="1"/>
        </w:pBdr>
        <w:spacing w:after="200"/>
      </w:pPr>
    </w:p>
    <w:p>
      <w:pPr>
        <w:pStyle w:val="Heading2"/>
        <w:spacing w:after="120" w:before="240"/>
      </w:pPr>
      <w:r>
        <w:rPr>
          <w:rFonts w:ascii="Arial" w:cs="Arial" w:eastAsia="Arial" w:hAnsi="Arial"/>
          <w:b/>
          <w:bCs/>
          <w:color w:val="6F4E37"/>
          <w:sz w:val="28"/>
          <w:szCs w:val="28"/>
        </w:rPr>
        <w:t xml:space="preserve">4.1 Overall Revenue Performance</w:t>
      </w:r>
    </w:p>
    <w:p>
      <w:pPr>
        <w:spacing w:after="160"/>
        <w:jc w:val="both"/>
      </w:pPr>
      <w:r>
        <w:rPr>
          <w:rFonts w:ascii="Arial" w:cs="Arial" w:eastAsia="Arial" w:hAnsi="Arial"/>
          <w:color w:val="222222"/>
          <w:sz w:val="22"/>
          <w:szCs w:val="22"/>
        </w:rPr>
        <w:t xml:space="preserve">Total revenue for 2025 across all three locations reached $698,812.33 from 149,116 transactions. The average transaction value is $4.69, with a median of $3.75 — indicating a right-skewed distribution driven by occasional high-value purchases (e.g., coffee beans at up to $45/unit).</w:t>
      </w:r>
    </w:p>
    <w:p>
      <w:pPr>
        <w:pStyle w:val="Heading3"/>
        <w:spacing w:after="100" w:before="200"/>
      </w:pPr>
      <w:r>
        <w:rPr>
          <w:rFonts w:ascii="Arial" w:cs="Arial" w:eastAsia="Arial" w:hAnsi="Arial"/>
          <w:b/>
          <w:bCs/>
          <w:color w:val="6F4E37"/>
          <w:sz w:val="24"/>
          <w:szCs w:val="24"/>
        </w:rPr>
        <w:t xml:space="preserve">Revenue by Store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1872"/>
        <w:gridCol w:w="936"/>
      </w:tblGrid>
      <w:tr>
        <w:tc>
          <w:tcPr>
            <w:tcW w:type="dxa" w:w="2808"/>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Store Location</w:t>
            </w:r>
          </w:p>
        </w:tc>
        <w:tc>
          <w:tcPr>
            <w:tcW w:type="dxa" w:w="1872"/>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Revenue</w:t>
            </w:r>
          </w:p>
        </w:tc>
        <w:tc>
          <w:tcPr>
            <w:tcW w:type="dxa" w:w="1872"/>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Transactions</w:t>
            </w:r>
          </w:p>
        </w:tc>
        <w:tc>
          <w:tcPr>
            <w:tcW w:type="dxa" w:w="1872"/>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Value</w:t>
            </w:r>
          </w:p>
        </w:tc>
        <w:tc>
          <w:tcPr>
            <w:tcW w:type="dxa" w:w="936"/>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w:t>
            </w:r>
          </w:p>
        </w:tc>
      </w:tr>
      <w:tr>
        <w:tc>
          <w:tcPr>
            <w:tcW w:type="dxa" w:w="280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Hell’s Kitchen</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$236,511</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50,735</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$4.66</w:t>
            </w:r>
          </w:p>
        </w:tc>
        <w:tc>
          <w:tcPr>
            <w:tcW w:type="dxa" w:w="93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33.8%</w:t>
            </w:r>
          </w:p>
        </w:tc>
      </w:tr>
      <w:tr>
        <w:tc>
          <w:tcPr>
            <w:tcW w:type="dxa" w:w="280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Astoria</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$232,244</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50,599</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$4.59</w:t>
            </w:r>
          </w:p>
        </w:tc>
        <w:tc>
          <w:tcPr>
            <w:tcW w:type="dxa" w:w="93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33.2%</w:t>
            </w:r>
          </w:p>
        </w:tc>
      </w:tr>
      <w:tr>
        <w:tc>
          <w:tcPr>
            <w:tcW w:type="dxa" w:w="280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Lower Manhattan</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$230,057</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47,782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$4.81</w:t>
            </w:r>
          </w:p>
        </w:tc>
        <w:tc>
          <w:tcPr>
            <w:tcW w:type="dxa" w:w="93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32.9%</w:t>
            </w:r>
          </w:p>
        </w:tc>
      </w:tr>
      <w:tr>
        <w:tc>
          <w:tcPr>
            <w:tcW w:type="dxa" w:w="280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TOTAL</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$698,812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149,116</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$4.69</w:t>
            </w:r>
          </w:p>
        </w:tc>
        <w:tc>
          <w:tcPr>
            <w:tcW w:type="dxa" w:w="93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100%</w:t>
            </w:r>
          </w:p>
        </w:tc>
      </w:tr>
    </w:tbl>
    <w:p>
      <w:pPr>
        <w:spacing w:after="240"/>
      </w:pPr>
    </w:p>
    <w:p>
      <w:pPr>
        <w:spacing w:after="160"/>
        <w:jc w:val="both"/>
      </w:pPr>
      <w:r>
        <w:rPr>
          <w:rFonts w:ascii="Arial" w:cs="Arial" w:eastAsia="Arial" w:hAnsi="Arial"/>
          <w:color w:val="222222"/>
          <w:sz w:val="22"/>
          <w:szCs w:val="22"/>
        </w:rPr>
        <w:t xml:space="preserve">Despite serving different neighborhoods and demographics, the three stores demonstrate remarkable revenue parity, with less than $6,500 separating the highest and lowest performers. This consistency suggests strong brand standardization and operational alignment across locations. Lower Manhattan commands the highest average transaction value ($4.81), likely driven by a more affluent professional customer base.</w:t>
      </w:r>
    </w:p>
    <w:p>
      <w:pPr>
        <w:pStyle w:val="Heading2"/>
        <w:spacing w:after="120" w:before="240"/>
      </w:pPr>
      <w:r>
        <w:rPr>
          <w:rFonts w:ascii="Arial" w:cs="Arial" w:eastAsia="Arial" w:hAnsi="Arial"/>
          <w:b/>
          <w:bCs/>
          <w:color w:val="6F4E37"/>
          <w:sz w:val="28"/>
          <w:szCs w:val="28"/>
        </w:rPr>
        <w:t xml:space="preserve">4.2 Time-of-Day Demand Analysis</w:t>
      </w:r>
    </w:p>
    <w:p>
      <w:pPr>
        <w:pStyle w:val="Heading3"/>
        <w:spacing w:after="100" w:before="200"/>
      </w:pPr>
      <w:r>
        <w:rPr>
          <w:rFonts w:ascii="Arial" w:cs="Arial" w:eastAsia="Arial" w:hAnsi="Arial"/>
          <w:b/>
          <w:bCs/>
          <w:color w:val="6F4E37"/>
          <w:sz w:val="24"/>
          <w:szCs w:val="24"/>
        </w:rPr>
        <w:t xml:space="preserve">Hourly Transaction Volume</w:t>
      </w:r>
    </w:p>
    <w:p>
      <w:pPr>
        <w:spacing w:after="160"/>
        <w:jc w:val="both"/>
      </w:pPr>
      <w:r>
        <w:rPr>
          <w:rFonts w:ascii="Arial" w:cs="Arial" w:eastAsia="Arial" w:hAnsi="Arial"/>
          <w:color w:val="222222"/>
          <w:sz w:val="22"/>
          <w:szCs w:val="22"/>
        </w:rPr>
        <w:t xml:space="preserve">Operating hours span 6:00 AM to 8:00 PM. Transaction volume follows a distinct morning-dominant pattern with a long afternoon plateau and a sharp evening decline.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Hour</w:t>
            </w:r>
          </w:p>
        </w:tc>
        <w:tc>
          <w:tcPr>
            <w:tcW w:type="dxa" w:w="1560"/>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Transactions</w:t>
            </w:r>
          </w:p>
        </w:tc>
        <w:tc>
          <w:tcPr>
            <w:tcW w:type="dxa" w:w="1560"/>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c>
          <w:tcPr>
            <w:tcW w:type="dxa" w:w="1560"/>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Avg/Txn ($)</w:t>
            </w:r>
          </w:p>
        </w:tc>
        <w:tc>
          <w:tcPr>
            <w:tcW w:type="dxa" w:w="1560"/>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Daily Rev</w:t>
            </w:r>
          </w:p>
        </w:tc>
        <w:tc>
          <w:tcPr>
            <w:tcW w:type="dxa" w:w="1560"/>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6:00 AM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4,594</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21,900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4.77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3.1%</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Morning</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7:00 AM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13,428</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63,526</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4.73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9.1%</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Morning</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8:00 AM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17,654</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82,700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4.68</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11.8%</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Morning</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9:00 AM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17,764</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85,170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4.79</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12.2%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Morning</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10:00 AM ★</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18,545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88,673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4.78</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12.7%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Morning</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11:00 AM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9,766</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46,319</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4.74</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6.6%</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Morning</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12:00 PM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8,708</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40,193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4.61</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Afternoon</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1:00 PM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8,714</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40,367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4.63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5.8%</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Afternoon</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2:00 PM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8,933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41,305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4.62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5.9%</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Afternoon</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3:00 PM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8,979</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41,733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4.65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Afternoon</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4:00 PM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9,093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41,123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4.52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5.9%</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Afternoon</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5:00 PM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8,745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40,134</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4.59</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Evening</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6:00 PM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7,498</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34,286</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4.57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4.9%</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Evening</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7:00 PM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6,092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28,447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4.67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4.1%</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Evening</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8:00 PM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603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2,936</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4.87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0.4%</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Evening</w:t>
            </w:r>
          </w:p>
        </w:tc>
      </w:tr>
    </w:tbl>
    <w:p>
      <w:pPr>
        <w:spacing w:after="200"/>
      </w:pPr>
    </w:p>
    <w:p>
      <w:pPr>
        <w:spacing w:after="160"/>
        <w:jc w:val="both"/>
      </w:pPr>
      <w:r>
        <w:rPr>
          <w:rFonts w:ascii="Arial" w:cs="Arial" w:eastAsia="Arial" w:hAnsi="Arial"/>
          <w:color w:val="222222"/>
          <w:sz w:val="22"/>
          <w:szCs w:val="22"/>
        </w:rPr>
        <w:t xml:space="preserve">The data reveals a sharp drop from 10:00 AM (18,545 transactions) to 11:00 AM (9,766 transactions) — a 47% reduction in a single hour — marking the transition from peak morning rush to the midday steady state. The 8:00 PM hour is an outlier with only 603 transactions, representing end-of-day wind-down.</w:t>
      </w:r>
    </w:p>
    <w:p>
      <w:pPr>
        <w:pStyle w:val="Heading2"/>
        <w:spacing w:after="120" w:before="240"/>
      </w:pPr>
      <w:r>
        <w:rPr>
          <w:rFonts w:ascii="Arial" w:cs="Arial" w:eastAsia="Arial" w:hAnsi="Arial"/>
          <w:b/>
          <w:bCs/>
          <w:color w:val="6F4E37"/>
          <w:sz w:val="28"/>
          <w:szCs w:val="28"/>
        </w:rPr>
        <w:t xml:space="preserve">4.3 Time Bucket Analysis</w:t>
      </w:r>
    </w:p>
    <w:p>
      <w:pPr>
        <w:spacing w:after="160"/>
        <w:jc w:val="both"/>
      </w:pPr>
      <w:r>
        <w:rPr>
          <w:rFonts w:ascii="Arial" w:cs="Arial" w:eastAsia="Arial" w:hAnsi="Arial"/>
          <w:color w:val="222222"/>
          <w:sz w:val="22"/>
          <w:szCs w:val="22"/>
        </w:rPr>
        <w:t xml:space="preserve">Aggregating transactions into four time periods reveals the overwhelming dominance of morning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1404"/>
        <w:gridCol w:w="1404"/>
      </w:tblGrid>
      <w:tr>
        <w:tc>
          <w:tcPr>
            <w:tcW w:type="dxa" w:w="2808"/>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Period</w:t>
            </w:r>
          </w:p>
        </w:tc>
        <w:tc>
          <w:tcPr>
            <w:tcW w:type="dxa" w:w="1872"/>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c>
          <w:tcPr>
            <w:tcW w:type="dxa" w:w="1872"/>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Transactions</w:t>
            </w:r>
          </w:p>
        </w:tc>
        <w:tc>
          <w:tcPr>
            <w:tcW w:type="dxa" w:w="1404"/>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 Share</w:t>
            </w:r>
          </w:p>
        </w:tc>
        <w:tc>
          <w:tcPr>
            <w:tcW w:type="dxa" w:w="1404"/>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Hours</w:t>
            </w:r>
          </w:p>
        </w:tc>
      </w:tr>
      <w:tr>
        <w:tc>
          <w:tcPr>
            <w:tcW w:type="dxa" w:w="280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Morning (6–11 AM)</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$388,289</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81,751</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55.6%</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 hours</w:t>
            </w:r>
          </w:p>
        </w:tc>
      </w:tr>
      <w:tr>
        <w:tc>
          <w:tcPr>
            <w:tcW w:type="dxa" w:w="280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Afternoon (12–4 PM)</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$204,721</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44,427</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29.3%</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 hours</w:t>
            </w:r>
          </w:p>
        </w:tc>
      </w:tr>
      <w:tr>
        <w:tc>
          <w:tcPr>
            <w:tcW w:type="dxa" w:w="280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Evening (5–8 PM)</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$105,803</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22,938</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15.1%</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 hours</w:t>
            </w:r>
          </w:p>
        </w:tc>
      </w:tr>
    </w:tbl>
    <w:p>
      <w:pPr>
        <w:spacing w:after="200"/>
      </w:pPr>
    </w:p>
    <w:p>
      <w:pPr>
        <w:spacing w:after="160"/>
        <w:jc w:val="both"/>
      </w:pPr>
      <w:r>
        <w:rPr>
          <w:rFonts w:ascii="Arial" w:cs="Arial" w:eastAsia="Arial" w:hAnsi="Arial"/>
          <w:color w:val="222222"/>
          <w:sz w:val="22"/>
          <w:szCs w:val="22"/>
        </w:rPr>
        <w:t xml:space="preserve">Morning generates $64,715 per hour on average — nearly triple the $40,944 per hour generated during afternoon hours. This underscores the outsized operational importance of the 6:00–11:00 AM window for staffing and inventory preparation.</w:t>
      </w:r>
    </w:p>
    <w:p>
      <w:pPr>
        <w:pStyle w:val="Heading2"/>
        <w:spacing w:after="120" w:before="240"/>
      </w:pPr>
      <w:r>
        <w:rPr>
          <w:rFonts w:ascii="Arial" w:cs="Arial" w:eastAsia="Arial" w:hAnsi="Arial"/>
          <w:b/>
          <w:bCs/>
          <w:color w:val="6F4E37"/>
          <w:sz w:val="28"/>
          <w:szCs w:val="28"/>
        </w:rPr>
        <w:t xml:space="preserve">4.4 Cross-Location Temporal Patterns</w:t>
      </w:r>
    </w:p>
    <w:p>
      <w:pPr>
        <w:spacing w:after="160"/>
        <w:jc w:val="both"/>
      </w:pPr>
      <w:r>
        <w:rPr>
          <w:rFonts w:ascii="Arial" w:cs="Arial" w:eastAsia="Arial" w:hAnsi="Arial"/>
          <w:color w:val="222222"/>
          <w:sz w:val="22"/>
          <w:szCs w:val="22"/>
        </w:rPr>
        <w:t xml:space="preserve">A critical finding is that 10:00 AM is the peak transaction and revenue hour across all three stores without exception. This universality suggests a system-wide demand driver (commuter and pre-work coffee culture) rather than location-specific factors.</w:t>
      </w:r>
    </w:p>
    <w:p>
      <w:pPr>
        <w:spacing w:after="160"/>
        <w:jc w:val="both"/>
      </w:pPr>
      <w:r>
        <w:rPr>
          <w:rFonts w:ascii="Arial" w:cs="Arial" w:eastAsia="Arial" w:hAnsi="Arial"/>
          <w:color w:val="222222"/>
          <w:sz w:val="22"/>
          <w:szCs w:val="22"/>
        </w:rPr>
        <w:t xml:space="preserve">Notable location-specific differences include:</w:t>
      </w:r>
    </w:p>
    <w:p>
      <w:pPr>
        <w:pStyle w:val="ListParagraph"/>
        <w:numPr>
          <w:ilvl w:val="0"/>
          <w:numId w:val="2"/>
        </w:numPr>
        <w:spacing w:after="100"/>
      </w:pPr>
      <w:r>
        <w:rPr>
          <w:rFonts w:ascii="Arial" w:cs="Arial" w:eastAsia="Arial" w:hAnsi="Arial"/>
          <w:color w:val="222222"/>
          <w:sz w:val="22"/>
          <w:szCs w:val="22"/>
        </w:rPr>
        <w:t xml:space="preserve">Lower Manhattan opens with the highest early-morning volume (6:00 AM: 2,918 transactions), reflecting the financial district’s early professional workforce</w:t>
      </w:r>
    </w:p>
    <w:p>
      <w:pPr>
        <w:pStyle w:val="ListParagraph"/>
        <w:numPr>
          <w:ilvl w:val="0"/>
          <w:numId w:val="2"/>
        </w:numPr>
        <w:spacing w:after="100"/>
      </w:pPr>
      <w:r>
        <w:rPr>
          <w:rFonts w:ascii="Arial" w:cs="Arial" w:eastAsia="Arial" w:hAnsi="Arial"/>
          <w:color w:val="222222"/>
          <w:sz w:val="22"/>
          <w:szCs w:val="22"/>
        </w:rPr>
        <w:t xml:space="preserve">Hell’s Kitchen shows more balanced evening demand compared to other locations, with 528 transactions at 8:00 PM vs. zero for Astoria</w:t>
      </w:r>
    </w:p>
    <w:p>
      <w:pPr>
        <w:pStyle w:val="ListParagraph"/>
        <w:numPr>
          <w:ilvl w:val="0"/>
          <w:numId w:val="2"/>
        </w:numPr>
        <w:spacing w:after="100"/>
      </w:pPr>
      <w:r>
        <w:rPr>
          <w:rFonts w:ascii="Arial" w:cs="Arial" w:eastAsia="Arial" w:hAnsi="Arial"/>
          <w:color w:val="222222"/>
          <w:sz w:val="22"/>
          <w:szCs w:val="22"/>
        </w:rPr>
        <w:t xml:space="preserve">Astoria records zero transactions at 6:00 AM, suggesting a later-opening or lower early-morning demand in this residential neighborhood</w:t>
      </w:r>
    </w:p>
    <w:p>
      <w:pPr>
        <w:pStyle w:val="ListParagraph"/>
        <w:numPr>
          <w:ilvl w:val="0"/>
          <w:numId w:val="2"/>
        </w:numPr>
        <w:spacing w:after="100"/>
      </w:pPr>
      <w:r>
        <w:rPr>
          <w:rFonts w:ascii="Arial" w:cs="Arial" w:eastAsia="Arial" w:hAnsi="Arial"/>
          <w:color w:val="222222"/>
          <w:sz w:val="22"/>
          <w:szCs w:val="22"/>
        </w:rPr>
        <w:t xml:space="preserve">Lower Manhattan transaction volume drops sharply after 5:00 PM, consistent with office workers leaving the area</w:t>
      </w:r>
    </w:p>
    <w:p>
      <w:r>
        <w:br w:type="page"/>
      </w:r>
    </w:p>
    <w:p>
      <w:pPr>
        <w:pStyle w:val="Heading2"/>
        <w:spacing w:after="120" w:before="240"/>
      </w:pPr>
      <w:r>
        <w:rPr>
          <w:rFonts w:ascii="Arial" w:cs="Arial" w:eastAsia="Arial" w:hAnsi="Arial"/>
          <w:b/>
          <w:bCs/>
          <w:color w:val="6F4E37"/>
          <w:sz w:val="28"/>
          <w:szCs w:val="28"/>
        </w:rPr>
        <w:t xml:space="preserve">4.5 Product Category Performance</w:t>
      </w:r>
    </w:p>
    <w:p>
      <w:pPr>
        <w:spacing w:after="160"/>
        <w:jc w:val="both"/>
      </w:pPr>
      <w:r>
        <w:rPr>
          <w:rFonts w:ascii="Arial" w:cs="Arial" w:eastAsia="Arial" w:hAnsi="Arial"/>
          <w:color w:val="222222"/>
          <w:sz w:val="22"/>
          <w:szCs w:val="22"/>
        </w:rPr>
        <w:t xml:space="preserve">Revenue is concentrated in beverages, with Coffee and Tea together accounting for 66.7% of all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 Category</w:t>
            </w:r>
          </w:p>
        </w:tc>
        <w:tc>
          <w:tcPr>
            <w:tcW w:type="dxa" w:w="2808"/>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c>
          <w:tcPr>
            <w:tcW w:type="dxa" w:w="2808"/>
            <w:tcBorders>
              <w:top w:val="single" w:color="DDDDDD" w:sz="1"/>
              <w:left w:val="single" w:color="DDDDDD" w:sz="1"/>
              <w:bottom w:val="single" w:color="DDDDDD" w:sz="1"/>
              <w:right w:val="single" w:color="DDDDDD" w:sz="1"/>
            </w:tcBorders>
            <w:shd w:fill="6F4E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Share</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Coffee</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$269,952</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38.6%</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Tea</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$196,406</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28.1%</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Bakery</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$82,316</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11.8%</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Drinking Chocolate</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$72,416</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10.4%</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Coffee Beans</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$40,085</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5.7%</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Other (4 categories)</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$37,637</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5.4%</w:t>
            </w:r>
          </w:p>
        </w:tc>
      </w:tr>
    </w:tbl>
    <w:p>
      <w:pPr>
        <w:spacing w:after="200"/>
      </w:pPr>
    </w:p>
    <w:p>
      <w:r>
        <w:br w:type="page"/>
      </w:r>
    </w:p>
    <w:p>
      <w:pPr>
        <w:pStyle w:val="Heading1"/>
        <w:spacing w:after="160" w:before="320"/>
      </w:pPr>
      <w:r>
        <w:rPr>
          <w:rFonts w:ascii="Arial" w:cs="Arial" w:eastAsia="Arial" w:hAnsi="Arial"/>
          <w:b/>
          <w:bCs/>
          <w:color w:val="3D2314"/>
          <w:sz w:val="36"/>
          <w:szCs w:val="36"/>
        </w:rPr>
        <w:t xml:space="preserve">5. Strategic Recommendations</w:t>
      </w:r>
    </w:p>
    <w:p>
      <w:pPr>
        <w:pBdr>
          <w:bottom w:val="single" w:color="C8A97E" w:sz="6" w:space="1"/>
        </w:pBdr>
        <w:spacing w:after="200"/>
      </w:pPr>
    </w:p>
    <w:p>
      <w:pPr>
        <w:pStyle w:val="Heading2"/>
        <w:spacing w:after="120" w:before="240"/>
      </w:pPr>
      <w:r>
        <w:rPr>
          <w:rFonts w:ascii="Arial" w:cs="Arial" w:eastAsia="Arial" w:hAnsi="Arial"/>
          <w:b/>
          <w:bCs/>
          <w:color w:val="6F4E37"/>
          <w:sz w:val="28"/>
          <w:szCs w:val="28"/>
        </w:rPr>
        <w:t xml:space="preserve">5.1 Staffing Optimization</w:t>
      </w:r>
    </w:p>
    <w:p>
      <w:pPr>
        <w:spacing w:after="160"/>
        <w:jc w:val="both"/>
      </w:pPr>
      <w:r>
        <w:rPr>
          <w:rFonts w:ascii="Arial" w:cs="Arial" w:eastAsia="Arial" w:hAnsi="Arial"/>
          <w:color w:val="222222"/>
          <w:sz w:val="22"/>
          <w:szCs w:val="22"/>
        </w:rPr>
        <w:t xml:space="preserve">Based on the temporal demand analysis, the following staffing schedule is recommended:</w:t>
      </w:r>
    </w:p>
    <w:p>
      <w:pPr>
        <w:pStyle w:val="ListParagraph"/>
        <w:numPr>
          <w:ilvl w:val="0"/>
          <w:numId w:val="2"/>
        </w:numPr>
        <w:spacing w:after="100"/>
      </w:pPr>
      <w:r>
        <w:rPr>
          <w:rFonts w:ascii="Arial" w:cs="Arial" w:eastAsia="Arial" w:hAnsi="Arial"/>
          <w:b/>
          <w:bCs/>
          <w:color w:val="6F4E37"/>
          <w:sz w:val="22"/>
          <w:szCs w:val="22"/>
        </w:rPr>
        <w:t xml:space="preserve">7:00 AM – 11:00 AM </w:t>
      </w:r>
      <w:r>
        <w:rPr>
          <w:rFonts w:ascii="Arial" w:cs="Arial" w:eastAsia="Arial" w:hAnsi="Arial"/>
          <w:color w:val="222222"/>
          <w:sz w:val="22"/>
          <w:szCs w:val="22"/>
        </w:rPr>
        <w:t xml:space="preserve">Peak staffing (maximum crew):</w:t>
      </w:r>
    </w:p>
    <w:p>
      <w:pPr>
        <w:pStyle w:val="ListParagraph"/>
        <w:numPr>
          <w:ilvl w:val="0"/>
          <w:numId w:val="2"/>
        </w:numPr>
        <w:spacing w:after="100"/>
      </w:pPr>
      <w:r>
        <w:rPr>
          <w:rFonts w:ascii="Arial" w:cs="Arial" w:eastAsia="Arial" w:hAnsi="Arial"/>
          <w:b/>
          <w:bCs/>
          <w:color w:val="6F4E37"/>
          <w:sz w:val="22"/>
          <w:szCs w:val="22"/>
        </w:rPr>
        <w:t xml:space="preserve">11:00 AM – 5:00 PM </w:t>
      </w:r>
      <w:r>
        <w:rPr>
          <w:rFonts w:ascii="Arial" w:cs="Arial" w:eastAsia="Arial" w:hAnsi="Arial"/>
          <w:color w:val="222222"/>
          <w:sz w:val="22"/>
          <w:szCs w:val="22"/>
        </w:rPr>
        <w:t xml:space="preserve">Transition staffing (medium crew):</w:t>
      </w:r>
    </w:p>
    <w:p>
      <w:pPr>
        <w:pStyle w:val="ListParagraph"/>
        <w:numPr>
          <w:ilvl w:val="0"/>
          <w:numId w:val="2"/>
        </w:numPr>
        <w:spacing w:after="100"/>
      </w:pPr>
      <w:r>
        <w:rPr>
          <w:rFonts w:ascii="Arial" w:cs="Arial" w:eastAsia="Arial" w:hAnsi="Arial"/>
          <w:b/>
          <w:bCs/>
          <w:color w:val="6F4E37"/>
          <w:sz w:val="22"/>
          <w:szCs w:val="22"/>
        </w:rPr>
        <w:t xml:space="preserve">5:00 PM – 8:00 PM </w:t>
      </w:r>
      <w:r>
        <w:rPr>
          <w:rFonts w:ascii="Arial" w:cs="Arial" w:eastAsia="Arial" w:hAnsi="Arial"/>
          <w:color w:val="222222"/>
          <w:sz w:val="22"/>
          <w:szCs w:val="22"/>
        </w:rPr>
        <w:t xml:space="preserve">Reduced staffing (minimum crew):</w:t>
      </w:r>
    </w:p>
    <w:p>
      <w:pPr>
        <w:pStyle w:val="ListParagraph"/>
        <w:numPr>
          <w:ilvl w:val="0"/>
          <w:numId w:val="2"/>
        </w:numPr>
        <w:spacing w:after="100"/>
      </w:pPr>
      <w:r>
        <w:rPr>
          <w:rFonts w:ascii="Arial" w:cs="Arial" w:eastAsia="Arial" w:hAnsi="Arial"/>
          <w:b/>
          <w:bCs/>
          <w:color w:val="6F4E37"/>
          <w:sz w:val="22"/>
          <w:szCs w:val="22"/>
        </w:rPr>
        <w:t xml:space="preserve">5:30 AM – 6:00 AM </w:t>
      </w:r>
      <w:r>
        <w:rPr>
          <w:rFonts w:ascii="Arial" w:cs="Arial" w:eastAsia="Arial" w:hAnsi="Arial"/>
          <w:color w:val="222222"/>
          <w:sz w:val="22"/>
          <w:szCs w:val="22"/>
        </w:rPr>
        <w:t xml:space="preserve">Pre-opening prep (1–2 staff):</w:t>
      </w:r>
    </w:p>
    <w:p>
      <w:pPr>
        <w:spacing w:after="160"/>
        <w:jc w:val="both"/>
      </w:pPr>
      <w:r>
        <w:rPr>
          <w:rFonts w:ascii="Arial" w:cs="Arial" w:eastAsia="Arial" w:hAnsi="Arial"/>
          <w:color w:val="222222"/>
          <w:sz w:val="22"/>
          <w:szCs w:val="22"/>
        </w:rPr>
        <w:t xml:space="preserve">For Lower Manhattan specifically, early morning staff (6:00 AM) should be prioritized given the 2,918 transactions recorded in that hour. Astoria can delay opening-time staffing given near-zero 6:00 AM demand.</w:t>
      </w:r>
    </w:p>
    <w:p>
      <w:pPr>
        <w:pStyle w:val="Heading2"/>
        <w:spacing w:after="120" w:before="240"/>
      </w:pPr>
      <w:r>
        <w:rPr>
          <w:rFonts w:ascii="Arial" w:cs="Arial" w:eastAsia="Arial" w:hAnsi="Arial"/>
          <w:b/>
          <w:bCs/>
          <w:color w:val="6F4E37"/>
          <w:sz w:val="28"/>
          <w:szCs w:val="28"/>
        </w:rPr>
        <w:t xml:space="preserve">5.2 Inventory &amp; Production Planning</w:t>
      </w:r>
    </w:p>
    <w:p>
      <w:pPr>
        <w:pStyle w:val="ListParagraph"/>
        <w:numPr>
          <w:ilvl w:val="0"/>
          <w:numId w:val="2"/>
        </w:numPr>
        <w:spacing w:after="100"/>
      </w:pPr>
      <w:r>
        <w:rPr>
          <w:rFonts w:ascii="Arial" w:cs="Arial" w:eastAsia="Arial" w:hAnsi="Arial"/>
          <w:color w:val="222222"/>
          <w:sz w:val="22"/>
          <w:szCs w:val="22"/>
        </w:rPr>
        <w:t xml:space="preserve">Coffee and bakery items should be pre-produced or restocked by 6:30 AM to meet the 7:00–10:00 AM surge</w:t>
      </w:r>
    </w:p>
    <w:p>
      <w:pPr>
        <w:pStyle w:val="ListParagraph"/>
        <w:numPr>
          <w:ilvl w:val="0"/>
          <w:numId w:val="2"/>
        </w:numPr>
        <w:spacing w:after="100"/>
      </w:pPr>
      <w:r>
        <w:rPr>
          <w:rFonts w:ascii="Arial" w:cs="Arial" w:eastAsia="Arial" w:hAnsi="Arial"/>
          <w:color w:val="222222"/>
          <w:sz w:val="22"/>
          <w:szCs w:val="22"/>
        </w:rPr>
        <w:t xml:space="preserve">Evening inventory restocking is low-priority given the 73% decline in transactions between 10:00 AM and 8:00 PM</w:t>
      </w:r>
    </w:p>
    <w:p>
      <w:pPr>
        <w:pStyle w:val="ListParagraph"/>
        <w:numPr>
          <w:ilvl w:val="0"/>
          <w:numId w:val="2"/>
        </w:numPr>
        <w:spacing w:after="100"/>
      </w:pPr>
      <w:r>
        <w:rPr>
          <w:rFonts w:ascii="Arial" w:cs="Arial" w:eastAsia="Arial" w:hAnsi="Arial"/>
          <w:color w:val="222222"/>
          <w:sz w:val="22"/>
          <w:szCs w:val="22"/>
        </w:rPr>
        <w:t xml:space="preserve">Tea preparation should be scaled to afternoon demand given its strong afternoon performance</w:t>
      </w:r>
    </w:p>
    <w:p>
      <w:pPr>
        <w:pStyle w:val="Heading2"/>
        <w:spacing w:after="120" w:before="240"/>
      </w:pPr>
      <w:r>
        <w:rPr>
          <w:rFonts w:ascii="Arial" w:cs="Arial" w:eastAsia="Arial" w:hAnsi="Arial"/>
          <w:b/>
          <w:bCs/>
          <w:color w:val="6F4E37"/>
          <w:sz w:val="28"/>
          <w:szCs w:val="28"/>
        </w:rPr>
        <w:t xml:space="preserve">5.3 Promotional Strategy</w:t>
      </w:r>
    </w:p>
    <w:p>
      <w:pPr>
        <w:pStyle w:val="ListParagraph"/>
        <w:numPr>
          <w:ilvl w:val="0"/>
          <w:numId w:val="2"/>
        </w:numPr>
        <w:spacing w:after="100"/>
      </w:pPr>
      <w:r>
        <w:rPr>
          <w:rFonts w:ascii="Arial" w:cs="Arial" w:eastAsia="Arial" w:hAnsi="Arial"/>
          <w:color w:val="222222"/>
          <w:sz w:val="22"/>
          <w:szCs w:val="22"/>
        </w:rPr>
        <w:t xml:space="preserve">Introduce morning loyalty incentives for the 6:00–7:00 AM window to smooth the demand curve and reduce 10:00 AM crowding</w:t>
      </w:r>
    </w:p>
    <w:p>
      <w:pPr>
        <w:pStyle w:val="ListParagraph"/>
        <w:numPr>
          <w:ilvl w:val="0"/>
          <w:numId w:val="2"/>
        </w:numPr>
        <w:spacing w:after="100"/>
      </w:pPr>
      <w:r>
        <w:rPr>
          <w:rFonts w:ascii="Arial" w:cs="Arial" w:eastAsia="Arial" w:hAnsi="Arial"/>
          <w:color w:val="222222"/>
          <w:sz w:val="22"/>
          <w:szCs w:val="22"/>
        </w:rPr>
        <w:t xml:space="preserve">Launch afternoon promotions (2:00–5:00 PM) to boost the plateau period and improve revenue per hour</w:t>
      </w:r>
    </w:p>
    <w:p>
      <w:pPr>
        <w:pStyle w:val="ListParagraph"/>
        <w:numPr>
          <w:ilvl w:val="0"/>
          <w:numId w:val="2"/>
        </w:numPr>
        <w:spacing w:after="100"/>
      </w:pPr>
      <w:r>
        <w:rPr>
          <w:rFonts w:ascii="Arial" w:cs="Arial" w:eastAsia="Arial" w:hAnsi="Arial"/>
          <w:color w:val="222222"/>
          <w:sz w:val="22"/>
          <w:szCs w:val="22"/>
        </w:rPr>
        <w:t xml:space="preserve">Evening-specific bundles (e.g., coffee + pastry) at Hell’s Kitchen could capitalize on their higher evening retention</w:t>
      </w:r>
    </w:p>
    <w:p>
      <w:pPr>
        <w:pStyle w:val="Heading2"/>
        <w:spacing w:after="120" w:before="240"/>
      </w:pPr>
      <w:r>
        <w:rPr>
          <w:rFonts w:ascii="Arial" w:cs="Arial" w:eastAsia="Arial" w:hAnsi="Arial"/>
          <w:b/>
          <w:bCs/>
          <w:color w:val="6F4E37"/>
          <w:sz w:val="28"/>
          <w:szCs w:val="28"/>
        </w:rPr>
        <w:t xml:space="preserve">5.4 Operational Hours Review</w:t>
      </w:r>
    </w:p>
    <w:p>
      <w:pPr>
        <w:pStyle w:val="ListParagraph"/>
        <w:numPr>
          <w:ilvl w:val="0"/>
          <w:numId w:val="2"/>
        </w:numPr>
        <w:spacing w:after="100"/>
      </w:pPr>
      <w:r>
        <w:rPr>
          <w:rFonts w:ascii="Arial" w:cs="Arial" w:eastAsia="Arial" w:hAnsi="Arial"/>
          <w:color w:val="222222"/>
          <w:sz w:val="22"/>
          <w:szCs w:val="22"/>
        </w:rPr>
        <w:t xml:space="preserve">The 8:00 PM hour generates only 0.4% of daily revenue — a cost-benefit review of operating past 7:30 PM is recommended for all stores</w:t>
      </w:r>
    </w:p>
    <w:p>
      <w:pPr>
        <w:pStyle w:val="ListParagraph"/>
        <w:numPr>
          <w:ilvl w:val="0"/>
          <w:numId w:val="2"/>
        </w:numPr>
        <w:spacing w:after="100"/>
      </w:pPr>
      <w:r>
        <w:rPr>
          <w:rFonts w:ascii="Arial" w:cs="Arial" w:eastAsia="Arial" w:hAnsi="Arial"/>
          <w:color w:val="222222"/>
          <w:sz w:val="22"/>
          <w:szCs w:val="22"/>
        </w:rPr>
        <w:t xml:space="preserve">Lower Manhattan’s sharp post-5:00 PM decline supports a potential earlier closing (7:00 PM) to optimize labor costs</w:t>
      </w:r>
    </w:p>
    <w:p>
      <w:r>
        <w:br w:type="page"/>
      </w:r>
    </w:p>
    <w:p>
      <w:pPr>
        <w:pStyle w:val="Heading1"/>
        <w:spacing w:after="160" w:before="320"/>
      </w:pPr>
      <w:r>
        <w:rPr>
          <w:rFonts w:ascii="Arial" w:cs="Arial" w:eastAsia="Arial" w:hAnsi="Arial"/>
          <w:b/>
          <w:bCs/>
          <w:color w:val="3D2314"/>
          <w:sz w:val="36"/>
          <w:szCs w:val="36"/>
        </w:rPr>
        <w:t xml:space="preserve">6. Conclusion</w:t>
      </w:r>
    </w:p>
    <w:p>
      <w:pPr>
        <w:pBdr>
          <w:bottom w:val="single" w:color="C8A97E" w:sz="6" w:space="1"/>
        </w:pBdr>
        <w:spacing w:after="200"/>
      </w:pPr>
    </w:p>
    <w:p>
      <w:pPr>
        <w:spacing w:after="160"/>
        <w:jc w:val="both"/>
      </w:pPr>
      <w:r>
        <w:rPr>
          <w:rFonts w:ascii="Arial" w:cs="Arial" w:eastAsia="Arial" w:hAnsi="Arial"/>
          <w:color w:val="222222"/>
          <w:sz w:val="22"/>
          <w:szCs w:val="22"/>
        </w:rPr>
        <w:t xml:space="preserve">This analysis conclusively demonstrates that Afficionado Coffee Roasters follows a strong morning-dominant demand pattern, with 55.6% of annual revenue generated before noon. The 10:00 AM peak hour is a system-wide phenomenon, generating $88,673 in revenue and 18,545 transactions in a single hour across three locations.</w:t>
      </w:r>
    </w:p>
    <w:p>
      <w:pPr>
        <w:spacing w:after="160"/>
        <w:jc w:val="both"/>
      </w:pPr>
      <w:r>
        <w:rPr>
          <w:rFonts w:ascii="Arial" w:cs="Arial" w:eastAsia="Arial" w:hAnsi="Arial"/>
          <w:color w:val="222222"/>
          <w:sz w:val="22"/>
          <w:szCs w:val="22"/>
        </w:rPr>
        <w:t xml:space="preserve">Despite serving geographically diverse neighborhoods — a financial district (Lower Manhattan), a residential borough (Astoria), and a mixed commercial area (Hell’s Kitchen) — the stores exhibit near-identical temporal demand curves. This consistency reflects a brand that has successfully replicated its customer experience across locations, while also presenting a unified target for operational improvement.</w:t>
      </w:r>
    </w:p>
    <w:p>
      <w:pPr>
        <w:spacing w:after="160"/>
        <w:jc w:val="both"/>
      </w:pPr>
      <w:r>
        <w:rPr>
          <w:rFonts w:ascii="Arial" w:cs="Arial" w:eastAsia="Arial" w:hAnsi="Arial"/>
          <w:color w:val="222222"/>
          <w:sz w:val="22"/>
          <w:szCs w:val="22"/>
        </w:rPr>
        <w:t xml:space="preserve">The interactive Streamlit dashboard accompanying this report enables ongoing monitoring of these patterns, with filters for store location, hour range, and metric toggling between revenue and transaction count. Together, the analytical findings and the dashboard provide Afficionado’s management with the data infrastructure to move from reactive, intuition-based operations to proactive, evidence-driven retail management.</w:t>
      </w:r>
    </w:p>
    <w:p>
      <w:pPr>
        <w:spacing w:after="320"/>
      </w:pPr>
    </w:p>
    <w:p>
      <w:pPr>
        <w:pBdr>
          <w:bottom w:val="single" w:color="C8A97E" w:sz="6" w:space="1"/>
        </w:pBdr>
        <w:spacing w:after="200"/>
      </w:pPr>
    </w:p>
    <w:p>
      <w:pPr>
        <w:jc w:val="center"/>
      </w:pPr>
      <w:r>
        <w:rPr>
          <w:rFonts w:ascii="Arial" w:cs="Arial" w:eastAsia="Arial" w:hAnsi="Arial"/>
          <w:i/>
          <w:iCs/>
          <w:color w:val="AAAAAA"/>
          <w:sz w:val="18"/>
          <w:szCs w:val="18"/>
        </w:rPr>
        <w:t xml:space="preserve">End of Report — Afficionado Coffee Roasters — Confidential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7E" w:sz="4" w:space="1"/>
      </w:pBdr>
      <w:tabs>
        <w:tab w:val="right" w:pos="9026"/>
      </w:tabs>
    </w:pPr>
    <w:r>
      <w:rPr>
        <w:rFonts w:ascii="Arial" w:cs="Arial" w:eastAsia="Arial" w:hAnsi="Arial"/>
        <w:color w:val="6F4E37"/>
        <w:sz w:val="18"/>
        <w:szCs w:val="18"/>
      </w:rPr>
      <w:t xml:space="preserve">☕ Afficionado Coffee Roasters — Sales Analytics Report 2025</w:t>
    </w:r>
    <w:r>
      <w:rPr>
        <w:sz w:val="18"/>
        <w:szCs w:val="18"/>
      </w:rPr>
      <w:t xml:space="preserve">	</w:t>
    </w:r>
    <w:r>
      <w:rPr>
        <w:rFonts w:ascii="Arial" w:cs="Arial" w:eastAsia="Arial" w:hAnsi="Arial"/>
        <w:color w:val="888888"/>
        <w:sz w:val="18"/>
        <w:szCs w:val="18"/>
      </w:rPr>
      <w:t xml:space="preserve">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3D231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6F4E3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6F4E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2026-04-23T07:45:49.565Z</dcterms:created>
  <dcterms:modified xsi:type="dcterms:W3CDTF">2026-04-23T07:45:49.566Z</dcterms:modified>
</cp:coreProperties>
</file>

<file path=docProps/custom.xml><?xml version="1.0" encoding="utf-8"?>
<Properties xmlns="http://schemas.openxmlformats.org/officeDocument/2006/custom-properties" xmlns:vt="http://schemas.openxmlformats.org/officeDocument/2006/docPropsVTypes"/>
</file>