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hd w:val="clear" w:color="0c0e11" w:fill="0c0e11"/>
        <w:spacing w:after="270" w:line="300" w:lineRule="atLeast"/>
        <w:ind w:right="0" w:firstLine="0" w:left="0"/>
        <w:rPr/>
      </w:pPr>
      <w:r>
        <w:rPr>
          <w:rFonts w:ascii="Arial" w:hAnsi="Arial" w:eastAsia="Arial" w:cs="Arial"/>
          <w:b/>
          <w:color w:val="e2e2e5"/>
          <w:sz w:val="21"/>
        </w:rPr>
        <w:t xml:space="preserve">Article 4: Tax Optimization for Precious Metals Investors: A Guide to Navigating Complex Regulations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Comprehensive analysis of tax implications for precious metals in France, including capital gains tax, VAT, and tax exemptions.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Detailed explanation of how legal tender status affects taxation, comparing demonetized coins, coins with legal tender, and tokens.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Advanced strategies for minimizing tax burdens when selling precious metals, including using invoices, sealed packaging, and understanding tax loopholes.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Comparison of French tax laws with other jurisdictions, highlighting international tax considerations.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Discussion of the "Napoleon trap" and other common tax pitfalls to avoid.</w:t>
      </w:r>
      <w:r/>
    </w:p>
    <w:p>
      <w:pPr>
        <w:pStyle w:val="139"/>
        <w:pBdr>
          <w:top w:val="vine" w:color="000000" w:sz="4" w:space="0"/>
          <w:left w:val="vine" w:color="000000" w:sz="4" w:space="0"/>
          <w:bottom w:val="vine" w:color="000000" w:sz="4" w:space="0"/>
          <w:right w:val="vine" w:color="000000" w:sz="4" w:space="0"/>
        </w:pBdr>
        <w:shd w:val="clear" w:color="1a1c1e" w:fill="1a1c1e"/>
        <w:spacing w:after="0" w:before="0" w:line="420" w:lineRule="atLeast"/>
        <w:ind w:right="0" w:firstLine="0" w:left="0"/>
        <w:rPr/>
      </w:pPr>
      <w:r>
        <w:rPr>
          <w:rFonts w:ascii="Arial" w:hAnsi="Arial" w:eastAsia="Arial" w:cs="Arial"/>
          <w:color w:val="e2e2e5"/>
          <w:sz w:val="33"/>
        </w:rPr>
        <w:t xml:space="preserve">Article 4: Tax Optimization for Precious Metals Investors: A Guide to Navigating Complex Regulations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Introduction: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Investing in precious metals, while offering potential benefits such as portfolio diversification and a hedge against inflation, involves navigating a complex landscape of tax regulations. These regulations vary significantly across jurisdictions and can p</w:t>
      </w:r>
      <w:r>
        <w:rPr>
          <w:rFonts w:ascii="Arial" w:hAnsi="Arial" w:eastAsia="Arial" w:cs="Arial"/>
          <w:color w:val="e2e2e5"/>
          <w:sz w:val="21"/>
        </w:rPr>
        <w:t xml:space="preserve">rofoundly impact investment returns. This article provides a comprehensive analysis of tax optimization strategies for precious metals investors, focusing primarily on the French tax system while also addressing international considerations and common pitf</w:t>
      </w:r>
      <w:r>
        <w:rPr>
          <w:rFonts w:ascii="Arial" w:hAnsi="Arial" w:eastAsia="Arial" w:cs="Arial"/>
          <w:color w:val="e2e2e5"/>
          <w:sz w:val="21"/>
        </w:rPr>
        <w:t xml:space="preserve">alls to avoid. This guide is aimed at advanced investors seeking to minimize their tax burden and maximize their after-tax returns. </w:t>
      </w:r>
      <w:r>
        <w:rPr>
          <w:rFonts w:ascii="Arial" w:hAnsi="Arial" w:eastAsia="Arial" w:cs="Arial"/>
          <w:b/>
          <w:color w:val="e2e2e5"/>
          <w:sz w:val="21"/>
        </w:rPr>
        <w:t xml:space="preserve">Disclaimer:</w:t>
      </w:r>
      <w:r>
        <w:rPr>
          <w:rFonts w:ascii="Arial" w:hAnsi="Arial" w:eastAsia="Arial" w:cs="Arial"/>
          <w:color w:val="e2e2e5"/>
          <w:sz w:val="21"/>
        </w:rPr>
        <w:t xml:space="preserve"> This article is for informational purposes only and does not constitute financial or tax advice. Consult with a qualified professional for personalized guidance.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 Tax Implications for Precious Metals in France: A Comprehensive Overview</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The French tax system applies specific rules to the sale of precious metals, including capital gains taxes, Value Added Tax (VAT), and certain exemptions. Understanding these rules is crucial for making informed investment decisions.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Tax on Precious Metals (11.5%):</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The standard tax applied to the sale of precious metals in France is 11.5% of the total transaction value. This tax applies regardless of whether the sale results in a profit or a loss, potentially impacting the overall return on investment, especially for</w:t>
      </w:r>
      <w:r>
        <w:rPr>
          <w:rFonts w:ascii="Arial" w:hAnsi="Arial" w:eastAsia="Arial" w:cs="Arial"/>
          <w:color w:val="e2e2e5"/>
          <w:sz w:val="21"/>
        </w:rPr>
        <w:t xml:space="preserve"> short-term holders or those who sell during market downturns.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Capital Gains Tax (36.2% with Allowances):</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As an alternative to the 11.5% tax, investors can opt for the capital gains tax regime. This regime applies a tax of approximately 36.2% to the realized profit, rather than the total sale amount. This can be advantageous for investors who have held their p</w:t>
      </w:r>
      <w:r>
        <w:rPr>
          <w:rFonts w:ascii="Arial" w:hAnsi="Arial" w:eastAsia="Arial" w:cs="Arial"/>
          <w:color w:val="e2e2e5"/>
          <w:sz w:val="21"/>
        </w:rPr>
        <w:t xml:space="preserve">recious metals for an extended period and have accumulated significant gains.</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Key Advantage:</w:t>
      </w:r>
      <w:r>
        <w:rPr>
          <w:rFonts w:ascii="Arial" w:hAnsi="Arial" w:eastAsia="Arial" w:cs="Arial"/>
          <w:color w:val="e2e2e5"/>
          <w:sz w:val="21"/>
        </w:rPr>
        <w:t xml:space="preserve"> The capital gains tax regime includes an annual allowance of 5% after the second year of ownership. This allowance effectively reduces the taxable gain, lowering the overall tax burden.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Value Added Tax (VAT):</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Silver bars, considered industrial raw materials in France, are subject to a 20% VAT. This significantly increases the initial investment cost and impacts potential returns. It's a crucial factor to consider when comparing silver bars with other investment</w:t>
      </w:r>
      <w:r>
        <w:rPr>
          <w:rFonts w:ascii="Arial" w:hAnsi="Arial" w:eastAsia="Arial" w:cs="Arial"/>
          <w:color w:val="e2e2e5"/>
          <w:sz w:val="21"/>
        </w:rPr>
        <w:t xml:space="preserve"> options.</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Key Exemption:</w:t>
      </w:r>
      <w:r>
        <w:rPr>
          <w:rFonts w:ascii="Arial" w:hAnsi="Arial" w:eastAsia="Arial" w:cs="Arial"/>
          <w:color w:val="e2e2e5"/>
          <w:sz w:val="21"/>
        </w:rPr>
        <w:t xml:space="preserve"> Silver coins with legal tender status are exempt from VAT in France. This exemption makes them a more attractive option for investors compared to silver bars, allowing for a more cost-effective way to acquire physical silver. Investment-grade gold is gene</w:t>
      </w:r>
      <w:r>
        <w:rPr>
          <w:rFonts w:ascii="Arial" w:hAnsi="Arial" w:eastAsia="Arial" w:cs="Arial"/>
          <w:color w:val="e2e2e5"/>
          <w:sz w:val="21"/>
        </w:rPr>
        <w:t xml:space="preserve">rally VAT-exempt as well.</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 Legal Tender Status and Taxation: Demonetized Coins, Coins with Legal Tender, and Tokens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The legal tender status of a coin plays a significant role in determining its tax treatment in France.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Demonetized Coins ("Napoleon Trap"):</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Demonetized coins, such as the French Napoleon gold coin or the 50 Franc Hercules silver coin, are no longer legal tender and are considered precious metal objects. As such, they are subject to the standard 11.5% tax on precious metals upon resale, even if</w:t>
      </w:r>
      <w:r>
        <w:rPr>
          <w:rFonts w:ascii="Arial" w:hAnsi="Arial" w:eastAsia="Arial" w:cs="Arial"/>
          <w:color w:val="e2e2e5"/>
          <w:sz w:val="21"/>
        </w:rPr>
        <w:t xml:space="preserve"> they were once circulated as currency.</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The "Napoleon trap" refers to the common misconception that Napoleon coins, due to their historical significance and widespread recognition, are exempt from this tax. Investors need to be aware of this potential pitfall when considering Napoleon coins as a</w:t>
      </w:r>
      <w:r>
        <w:rPr>
          <w:rFonts w:ascii="Arial" w:hAnsi="Arial" w:eastAsia="Arial" w:cs="Arial"/>
          <w:color w:val="e2e2e5"/>
          <w:sz w:val="21"/>
        </w:rPr>
        <w:t xml:space="preserve">n investment.</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Coins with Legal Tender:</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Coins with current legal tender status, such as the Vienna Philharmonic gold coin or the British Sovereign, are considered movable property under French law. Reselling these coins is exempt from taxation up to a limit of €5,000 per transaction. This exempt</w:t>
      </w:r>
      <w:r>
        <w:rPr>
          <w:rFonts w:ascii="Arial" w:hAnsi="Arial" w:eastAsia="Arial" w:cs="Arial"/>
          <w:color w:val="e2e2e5"/>
          <w:sz w:val="21"/>
        </w:rPr>
        <w:t xml:space="preserve">ion can be highly advantageous for investors, particularly when managing liquidity or making smaller, regular transactions.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Tokens (e.g., Swiss 20 Franc Restrikes):</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Tokens, such as the restrikes of the Swiss 20 Franc gold coin, resemble coins but have never been official legal tender. However, under French tax law, they fall into the same category as jewelry and are exempt from taxation up to a limit of €5,000 per tra</w:t>
      </w:r>
      <w:r>
        <w:rPr>
          <w:rFonts w:ascii="Arial" w:hAnsi="Arial" w:eastAsia="Arial" w:cs="Arial"/>
          <w:color w:val="e2e2e5"/>
          <w:sz w:val="21"/>
        </w:rPr>
        <w:t xml:space="preserve">nsaction. This makes specific tokens a tax-advantaged option for investors, especially those seeking to diversify their gold holdings.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III. Advanced Tax Minimization Strategies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Savvy investors can employ various strategies to minimize their tax burden when selling precious metals.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Invoices and Proof of Purchase:</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Retaining the original invoice or proof of purchase from a reputable vendor is crucial for opting into the capital gains tax regime. This documentation allows investors to demonstrate the initial purchase price and calculate the actual profit, which is the</w:t>
      </w:r>
      <w:r>
        <w:rPr>
          <w:rFonts w:ascii="Arial" w:hAnsi="Arial" w:eastAsia="Arial" w:cs="Arial"/>
          <w:color w:val="e2e2e5"/>
          <w:sz w:val="21"/>
        </w:rPr>
        <w:t xml:space="preserve">n subject to the lower capital gains tax rate (36.2%) instead of the standard 11.5% tax on the total sale amount.</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Sealed Packaging:</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Keeping precious metal products in their original, sealed packaging can further enhance tax advantages. In France, unopened, sealed products with a valid invoice qualify for more favorable tax treatment under the capital gains regime, including the valuabl</w:t>
      </w:r>
      <w:r>
        <w:rPr>
          <w:rFonts w:ascii="Arial" w:hAnsi="Arial" w:eastAsia="Arial" w:cs="Arial"/>
          <w:color w:val="e2e2e5"/>
          <w:sz w:val="21"/>
        </w:rPr>
        <w:t xml:space="preserve">e annual allowance of 5% after the second year.</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Understanding Tax Loopholes: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Investors should stay informed about current tax laws and regulations related to precious metals. Changes in legislation can create opportunities or close loopholes. Consulting with a tax advisor specialized in investment assets can provide valuable insigh</w:t>
      </w:r>
      <w:r>
        <w:rPr>
          <w:rFonts w:ascii="Arial" w:hAnsi="Arial" w:eastAsia="Arial" w:cs="Arial"/>
          <w:color w:val="e2e2e5"/>
          <w:sz w:val="21"/>
        </w:rPr>
        <w:t xml:space="preserve">ts into navigating complex regulations and maximizing tax efficiency.</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IV. International Tax Considerations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Tax laws vary significantly across jurisdictions, impacting how profits from precious metals sales are treated.</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(Expand this section with specific examples comparing French tax laws with those in other countries relevant to your target audience, e.g., UK, US, Germany. Consider aspects like capital gains taxes, VAT/sales tax, reporting requirements, and any specific </w:t>
      </w:r>
      <w:r>
        <w:rPr>
          <w:rFonts w:ascii="Arial" w:hAnsi="Arial" w:eastAsia="Arial" w:cs="Arial"/>
          <w:b/>
          <w:color w:val="e2e2e5"/>
          <w:sz w:val="21"/>
        </w:rPr>
        <w:t xml:space="preserve">exemptions or regulations.)</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United States:</w:t>
      </w:r>
      <w:r>
        <w:rPr>
          <w:rFonts w:ascii="Arial" w:hAnsi="Arial" w:eastAsia="Arial" w:cs="Arial"/>
          <w:color w:val="e2e2e5"/>
          <w:sz w:val="21"/>
        </w:rPr>
        <w:t xml:space="preserve"> Briefly discuss capital gains taxes on precious metals, including long-term vs. short-term holding periods. Mention the tax implications of gold IRAs.</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United Kingdom:</w:t>
      </w:r>
      <w:r>
        <w:rPr>
          <w:rFonts w:ascii="Arial" w:hAnsi="Arial" w:eastAsia="Arial" w:cs="Arial"/>
          <w:color w:val="e2e2e5"/>
          <w:sz w:val="21"/>
        </w:rPr>
        <w:t xml:space="preserve"> Address Capital Gains Tax on precious metals, mentioning potential exemptions and allowances. Briefly discuss VAT on silver and gold.</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Germany:</w:t>
      </w:r>
      <w:r>
        <w:rPr>
          <w:rFonts w:ascii="Arial" w:hAnsi="Arial" w:eastAsia="Arial" w:cs="Arial"/>
          <w:color w:val="e2e2e5"/>
          <w:sz w:val="21"/>
        </w:rPr>
        <w:t xml:space="preserve"> Briefly discuss the tax treatment of precious metals, including VAT on silver bars and potential exemptions for investment gold.</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 Common Tax Pitfalls to Avoid</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Being aware of potential pitfalls can save investors significant costs and headaches.</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The "Napoleon Trap":</w:t>
      </w:r>
      <w:r>
        <w:rPr>
          <w:rFonts w:ascii="Arial" w:hAnsi="Arial" w:eastAsia="Arial" w:cs="Arial"/>
          <w:color w:val="e2e2e5"/>
          <w:sz w:val="21"/>
        </w:rPr>
        <w:t xml:space="preserve"> As mentioned earlier, avoid the misconception that Napoleon coins are tax-exempt in France. They are subject to the 11.5% precious metals tax.</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Misidentification of Tokens:</w:t>
      </w:r>
      <w:r>
        <w:rPr>
          <w:rFonts w:ascii="Arial" w:hAnsi="Arial" w:eastAsia="Arial" w:cs="Arial"/>
          <w:color w:val="e2e2e5"/>
          <w:sz w:val="21"/>
        </w:rPr>
        <w:t xml:space="preserve"> Be sure to correctly identify tokens and differentiate them from demonetized coins. This is crucial for applying the correct tax treatment and avoiding potential disputes with tax authorities. Research and consult with experts if uncertain.</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Inadequate Documentation:</w:t>
      </w:r>
      <w:r>
        <w:rPr>
          <w:rFonts w:ascii="Arial" w:hAnsi="Arial" w:eastAsia="Arial" w:cs="Arial"/>
          <w:color w:val="e2e2e5"/>
          <w:sz w:val="21"/>
        </w:rPr>
        <w:t xml:space="preserve"> Meticulously maintain all purchase records, including invoices, certificates, and payment confirmations. This documentation is crucial for tax reporting and minimizing potential tax liabilities.</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Ignoring Changing Regulations:</w:t>
      </w:r>
      <w:r>
        <w:rPr>
          <w:rFonts w:ascii="Arial" w:hAnsi="Arial" w:eastAsia="Arial" w:cs="Arial"/>
          <w:color w:val="e2e2e5"/>
          <w:sz w:val="21"/>
        </w:rPr>
        <w:t xml:space="preserve"> Tax laws and regulations are subject to change. Stay informed about current rules and consult with a tax advisor regularly to adapt your investment strategy accordingly.</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Overlooking International Implications:</w:t>
      </w:r>
      <w:r>
        <w:rPr>
          <w:rFonts w:ascii="Arial" w:hAnsi="Arial" w:eastAsia="Arial" w:cs="Arial"/>
          <w:color w:val="e2e2e5"/>
          <w:sz w:val="21"/>
        </w:rPr>
        <w:t xml:space="preserve"> For investors with assets or transactions in multiple countries, international tax considerations can be complex. Seek advice from a qualified international tax specialist to understand cross-border implications, tax treaties, and reporting requirements.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Conclusion:</w:t>
      </w:r>
      <w:r/>
    </w:p>
    <w:p>
      <w:pPr>
        <w:pBdr>
          <w:top w:val="vine" w:color="000000" w:sz="4" w:space="0"/>
          <w:left w:val="vine" w:color="000000" w:sz="4" w:space="0"/>
          <w:bottom w:val="vine" w:color="000000" w:sz="4" w:space="0"/>
          <w:right w:val="vine" w:color="000000" w:sz="4" w:space="0"/>
        </w:pBdr>
        <w:shd w:val="clear" w:color="1a1c1e" w:fill="1a1c1e"/>
        <w:spacing w:after="0" w:line="300" w:lineRule="atLeast"/>
        <w:ind w:right="0" w:firstLine="0" w:left="0"/>
        <w:rPr/>
      </w:pPr>
      <w:r>
        <w:rPr>
          <w:rFonts w:ascii="Arial" w:hAnsi="Arial" w:eastAsia="Arial" w:cs="Arial"/>
          <w:color w:val="e2e2e5"/>
          <w:sz w:val="21"/>
        </w:rPr>
        <w:t xml:space="preserve">Optimizing tax efficiency is a critical aspect of successful precious metals investing. Advanced investors in France need to understand the intricacies of the French tax system, including the 11.5% precious metals tax, the capital gains regime, and the VAT</w:t>
      </w:r>
      <w:r>
        <w:rPr>
          <w:rFonts w:ascii="Arial" w:hAnsi="Arial" w:eastAsia="Arial" w:cs="Arial"/>
          <w:color w:val="e2e2e5"/>
          <w:sz w:val="21"/>
        </w:rPr>
        <w:t xml:space="preserve"> implications for different silver products. By distinguishing between demonetized coins, coins with legal tender, and tokens, investors can make informed decisions to minimize tax burdens. Advanced strategies, such as retaining invoices, keeping products </w:t>
      </w:r>
      <w:r>
        <w:rPr>
          <w:rFonts w:ascii="Arial" w:hAnsi="Arial" w:eastAsia="Arial" w:cs="Arial"/>
          <w:color w:val="e2e2e5"/>
          <w:sz w:val="21"/>
        </w:rPr>
        <w:t xml:space="preserve">sealed, and understanding tax loopholes, can further enhance tax efficiency. Finally, considering international tax implications and avoiding common pitfalls is essential for optimizing after-tax returns.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2024-12-08T08:34:09Z</dcterms:modified>
</cp:coreProperties>
</file>