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Article 4: Tax Optimization for Precious Metals Investors: A Guide to Navigating Complex Regulations</w:t>
      </w:r>
    </w:p>
    <w:p>
      <w:pPr>
        <w:pStyle w:val="Normal"/>
        <w:numPr>
          <w:ilvl w:val="0"/>
          <w:numId w:val="1"/>
        </w:numPr>
        <w:rPr/>
      </w:pPr>
      <w:r>
        <w:rPr/>
        <w:t>Comprehensive analysis of tax implications for precious metals in France, including capital gains tax, VAT, and tax exemptions.</w:t>
      </w:r>
    </w:p>
    <w:p>
      <w:pPr>
        <w:pStyle w:val="Normal"/>
        <w:numPr>
          <w:ilvl w:val="0"/>
          <w:numId w:val="1"/>
        </w:numPr>
        <w:rPr/>
      </w:pPr>
      <w:r>
        <w:rPr/>
        <w:t>Detailed explanation of how legal tender status affects taxation, comparing demonetized coins, coins with legal tender, and tokens.</w:t>
      </w:r>
    </w:p>
    <w:p>
      <w:pPr>
        <w:pStyle w:val="Normal"/>
        <w:numPr>
          <w:ilvl w:val="0"/>
          <w:numId w:val="1"/>
        </w:numPr>
        <w:rPr/>
      </w:pPr>
      <w:r>
        <w:rPr/>
        <w:t>Advanced strategies for minimizing tax burdens when selling precious metals, including using invoices, sealed packaging, and understanding tax loopholes.</w:t>
      </w:r>
    </w:p>
    <w:p>
      <w:pPr>
        <w:pStyle w:val="Normal"/>
        <w:numPr>
          <w:ilvl w:val="0"/>
          <w:numId w:val="1"/>
        </w:numPr>
        <w:rPr/>
      </w:pPr>
      <w:r>
        <w:rPr/>
        <w:t>Comparison of French tax laws with other jurisdictions, highlighting international tax considerations.</w:t>
      </w:r>
    </w:p>
    <w:p>
      <w:pPr>
        <w:pStyle w:val="Normal"/>
        <w:numPr>
          <w:ilvl w:val="0"/>
          <w:numId w:val="1"/>
        </w:numPr>
        <w:rPr/>
      </w:pPr>
      <w:r>
        <w:rPr/>
        <w:t>Discussion of the "Napoleon trap" and other common tax pitfalls to avoid.</w:t>
      </w:r>
    </w:p>
    <w:p>
      <w:pPr>
        <w:pStyle w:val="Normal"/>
        <w:rPr/>
      </w:pPr>
      <w:r>
        <w:rPr/>
        <w:t>Article 4: Tax Optimization for Precious Metals Investors: A Guide to Navigating Complex Regulations</w:t>
      </w:r>
    </w:p>
    <w:p>
      <w:pPr>
        <w:pStyle w:val="Normal"/>
        <w:rPr/>
      </w:pPr>
      <w:r>
        <w:rPr/>
        <w:t>Introduction:</w:t>
      </w:r>
    </w:p>
    <w:p>
      <w:pPr>
        <w:pStyle w:val="Normal"/>
        <w:rPr/>
      </w:pPr>
      <w:r>
        <w:rPr/>
        <w:t>Investing in precious metals, while offering potential benefits such as portfolio diversification and a hedge against inflation, involves navigating a complex landscape of tax regulations. These regulations vary significantly across jurisdictions and can profoundly impact investment returns. This article provides a comprehensive analysis of tax optimization strategies for precious metals investors, focusing primarily on the French tax system while also addressing international considerations and common pitfalls to avoid. This guide is aimed at advanced investors seeking to minimize their tax burden and maximize their after-tax returns. Disclaimer: This article is for informational purposes only and does not constitute financial or tax advice. Consult with a qualified professional for personalized guidance.</w:t>
      </w:r>
    </w:p>
    <w:p>
      <w:pPr>
        <w:pStyle w:val="Normal"/>
        <w:rPr/>
      </w:pPr>
      <w:r>
        <w:rPr/>
        <w:t>I. Tax Implications for Precious Metals in France: A Comprehensive Overview</w:t>
      </w:r>
    </w:p>
    <w:p>
      <w:pPr>
        <w:pStyle w:val="Normal"/>
        <w:rPr/>
      </w:pPr>
      <w:r>
        <w:rPr/>
        <w:t>The French tax system applies specific rules to the sale of precious metals, including capital gains taxes, Value Added Tax (VAT), and certain exemptions. Understanding these rules is crucial for making informed investment decisions.</w:t>
      </w:r>
    </w:p>
    <w:p>
      <w:pPr>
        <w:pStyle w:val="Normal"/>
        <w:rPr/>
      </w:pPr>
      <w:r>
        <w:rPr/>
        <w:t>A. Tax on Precious Metals (11.5%):</w:t>
      </w:r>
    </w:p>
    <w:p>
      <w:pPr>
        <w:pStyle w:val="Normal"/>
        <w:numPr>
          <w:ilvl w:val="0"/>
          <w:numId w:val="2"/>
        </w:numPr>
        <w:rPr/>
      </w:pPr>
      <w:r>
        <w:rPr/>
        <w:t>The standard tax applied to the sale of precious metals in France is 11.5% of the total transaction value. This tax applies regardless of whether the sale results in a profit or a loss, potentially impacting the overall return on investment, especially for short-term holders or those who sell during market downturns.</w:t>
      </w:r>
    </w:p>
    <w:p>
      <w:pPr>
        <w:pStyle w:val="Normal"/>
        <w:rPr/>
      </w:pPr>
      <w:r>
        <w:rPr/>
        <w:t>B. Capital Gains Tax (36.2% with Allowances):</w:t>
      </w:r>
    </w:p>
    <w:p>
      <w:pPr>
        <w:pStyle w:val="Normal"/>
        <w:numPr>
          <w:ilvl w:val="0"/>
          <w:numId w:val="3"/>
        </w:numPr>
        <w:rPr/>
      </w:pPr>
      <w:r>
        <w:rPr/>
        <w:t>As an alternative to the 11.5% tax, investors can opt for the capital gains tax regime. This regime applies a tax of approximately 36.2% to the realized profit, rather than the total sale amount. This can be advantageous for investors who have held their precious metals for an extended period and have accumulated significant gains.</w:t>
      </w:r>
    </w:p>
    <w:p>
      <w:pPr>
        <w:pStyle w:val="Normal"/>
        <w:numPr>
          <w:ilvl w:val="0"/>
          <w:numId w:val="3"/>
        </w:numPr>
        <w:rPr/>
      </w:pPr>
      <w:r>
        <w:rPr/>
        <w:t>Key Advantage: The capital gains tax regime includes an annual allowance of 5% after the second year of ownership. This allowance effectively reduces the taxable gain, lowering the overall tax burden.</w:t>
      </w:r>
    </w:p>
    <w:p>
      <w:pPr>
        <w:pStyle w:val="Normal"/>
        <w:rPr/>
      </w:pPr>
      <w:r>
        <w:rPr/>
        <w:t>C. Value Added Tax (VAT):</w:t>
      </w:r>
    </w:p>
    <w:p>
      <w:pPr>
        <w:pStyle w:val="Normal"/>
        <w:numPr>
          <w:ilvl w:val="0"/>
          <w:numId w:val="4"/>
        </w:numPr>
        <w:rPr/>
      </w:pPr>
      <w:r>
        <w:rPr/>
        <w:t>Silver bars, considered industrial raw materials in France, are subject to a 20% VAT. This significantly increases the initial investment cost and impacts potential returns. It's a crucial factor to consider when comparing silver bars with other investment options.</w:t>
      </w:r>
    </w:p>
    <w:p>
      <w:pPr>
        <w:pStyle w:val="Normal"/>
        <w:numPr>
          <w:ilvl w:val="0"/>
          <w:numId w:val="4"/>
        </w:numPr>
        <w:rPr/>
      </w:pPr>
      <w:r>
        <w:rPr/>
        <w:t>Key Exemption: Silver coins with legal tender status are exempt from VAT in France. This exemption makes them a more attractive option for investors compared to silver bars, allowing for a more cost-effective way to acquire physical silver. Investment-grade gold is generally VAT-exempt as well.</w:t>
      </w:r>
    </w:p>
    <w:p>
      <w:pPr>
        <w:pStyle w:val="Normal"/>
        <w:rPr/>
      </w:pPr>
      <w:r>
        <w:rPr/>
        <w:t>II. Legal Tender Status and Taxation: Demonetized Coins, Coins with Legal Tender, and Tokens</w:t>
      </w:r>
    </w:p>
    <w:p>
      <w:pPr>
        <w:pStyle w:val="Normal"/>
        <w:rPr/>
      </w:pPr>
      <w:r>
        <w:rPr/>
        <w:t>The legal tender status of a coin plays a significant role in determining its tax treatment in France.</w:t>
      </w:r>
    </w:p>
    <w:p>
      <w:pPr>
        <w:pStyle w:val="Normal"/>
        <w:rPr/>
      </w:pPr>
      <w:r>
        <w:rPr/>
        <w:t>A. Demonetized Coins ("Napoleon Trap"):</w:t>
      </w:r>
    </w:p>
    <w:p>
      <w:pPr>
        <w:pStyle w:val="Normal"/>
        <w:numPr>
          <w:ilvl w:val="0"/>
          <w:numId w:val="5"/>
        </w:numPr>
        <w:rPr/>
      </w:pPr>
      <w:r>
        <w:rPr/>
        <w:t>Demonetized coins, such as the French Napoleon gold coin or the 50 Franc Hercules silver coin, are no longer legal tender and are considered precious metal objects. As such, they are subject to the standard 11.5% tax on precious metals upon resale, even if they were once circulated as currency.</w:t>
      </w:r>
    </w:p>
    <w:p>
      <w:pPr>
        <w:pStyle w:val="Normal"/>
        <w:numPr>
          <w:ilvl w:val="0"/>
          <w:numId w:val="5"/>
        </w:numPr>
        <w:rPr/>
      </w:pPr>
      <w:r>
        <w:rPr/>
        <w:t>The "Napoleon trap" refers to the common misconception that Napoleon coins, due to their historical significance and widespread recognition, are exempt from this tax. Investors need to be aware of this potential pitfall when considering Napoleon coins as an investment.</w:t>
      </w:r>
    </w:p>
    <w:p>
      <w:pPr>
        <w:pStyle w:val="Normal"/>
        <w:rPr/>
      </w:pPr>
      <w:r>
        <w:rPr/>
        <w:t>B. Coins with Legal Tender:</w:t>
      </w:r>
    </w:p>
    <w:p>
      <w:pPr>
        <w:pStyle w:val="Normal"/>
        <w:numPr>
          <w:ilvl w:val="0"/>
          <w:numId w:val="6"/>
        </w:numPr>
        <w:rPr/>
      </w:pPr>
      <w:r>
        <w:rPr/>
        <w:t>Coins with current legal tender status, such as the Vienna Philharmonic gold coin or the British Sovereign, are considered movable property under French law. Reselling these coins is exempt from taxation up to a limit of €5,000 per transaction. This exemption can be highly advantageous for investors, particularly when managing liquidity or making smaller, regular transactions.</w:t>
      </w:r>
    </w:p>
    <w:p>
      <w:pPr>
        <w:pStyle w:val="Normal"/>
        <w:rPr/>
      </w:pPr>
      <w:r>
        <w:rPr/>
        <w:t>C. Tokens (e.g., Swiss 20 Franc Restrikes):</w:t>
      </w:r>
    </w:p>
    <w:p>
      <w:pPr>
        <w:pStyle w:val="Normal"/>
        <w:numPr>
          <w:ilvl w:val="0"/>
          <w:numId w:val="7"/>
        </w:numPr>
        <w:rPr/>
      </w:pPr>
      <w:r>
        <w:rPr/>
        <w:t>Tokens, such as the restrikes of the Swiss 20 Franc gold coin, resemble coins but have never been official legal tender. However, under French tax law, they fall into the same category as jewelry and are exempt from taxation up to a limit of €5,000 per transaction. This makes specific tokens a tax-advantaged option for investors, especially those seeking to diversify their gold holdings.</w:t>
      </w:r>
    </w:p>
    <w:p>
      <w:pPr>
        <w:pStyle w:val="Normal"/>
        <w:rPr/>
      </w:pPr>
      <w:r>
        <w:rPr/>
        <w:t>III. Advanced Tax Minimization Strategies</w:t>
      </w:r>
    </w:p>
    <w:p>
      <w:pPr>
        <w:pStyle w:val="Normal"/>
        <w:rPr/>
      </w:pPr>
      <w:r>
        <w:rPr/>
        <w:t>Savvy investors can employ various strategies to minimize their tax burden when selling precious metals.</w:t>
      </w:r>
    </w:p>
    <w:p>
      <w:pPr>
        <w:pStyle w:val="Normal"/>
        <w:rPr/>
      </w:pPr>
      <w:r>
        <w:rPr/>
        <w:t>A. Invoices and Proof of Purchase:</w:t>
      </w:r>
    </w:p>
    <w:p>
      <w:pPr>
        <w:pStyle w:val="Normal"/>
        <w:numPr>
          <w:ilvl w:val="0"/>
          <w:numId w:val="8"/>
        </w:numPr>
        <w:rPr/>
      </w:pPr>
      <w:r>
        <w:rPr/>
        <w:t>Retaining the original invoice or proof of purchase from a reputable vendor is crucial for opting into the capital gains tax regime. This documentation allows investors to demonstrate the initial purchase price and calculate the actual profit, which is then subject to the lower capital gains tax rate (36.2%) instead of the standard 11.5% tax on the total sale amount.</w:t>
      </w:r>
    </w:p>
    <w:p>
      <w:pPr>
        <w:pStyle w:val="Normal"/>
        <w:rPr/>
      </w:pPr>
      <w:r>
        <w:rPr/>
        <w:t>B. Sealed Packaging:</w:t>
      </w:r>
    </w:p>
    <w:p>
      <w:pPr>
        <w:pStyle w:val="Normal"/>
        <w:numPr>
          <w:ilvl w:val="0"/>
          <w:numId w:val="9"/>
        </w:numPr>
        <w:rPr/>
      </w:pPr>
      <w:r>
        <w:rPr/>
        <w:t>Keeping precious metal products in their original, sealed packaging can further enhance tax advantages. In France, unopened, sealed products with a valid invoice qualify for more favorable tax treatment under the capital gains regime, including the valuable annual allowance of 5% after the second year.</w:t>
      </w:r>
    </w:p>
    <w:p>
      <w:pPr>
        <w:pStyle w:val="Normal"/>
        <w:rPr/>
      </w:pPr>
      <w:r>
        <w:rPr/>
        <w:t>C. Understanding Tax Loopholes:</w:t>
      </w:r>
    </w:p>
    <w:p>
      <w:pPr>
        <w:pStyle w:val="Normal"/>
        <w:numPr>
          <w:ilvl w:val="0"/>
          <w:numId w:val="10"/>
        </w:numPr>
        <w:rPr/>
      </w:pPr>
      <w:r>
        <w:rPr/>
        <w:t>Investors should stay informed about current tax laws and regulations related to precious metals. Changes in legislation can create opportunities or close loopholes. Consulting with a tax advisor specialized in investment assets can provide valuable insights into navigating complex regulations and maximizing tax efficiency.</w:t>
      </w:r>
    </w:p>
    <w:p>
      <w:pPr>
        <w:pStyle w:val="Normal"/>
        <w:rPr/>
      </w:pPr>
      <w:r>
        <w:rPr/>
        <w:t>IV. International Tax Considerations</w:t>
      </w:r>
    </w:p>
    <w:p>
      <w:pPr>
        <w:pStyle w:val="Normal"/>
        <w:rPr/>
      </w:pPr>
      <w:r>
        <w:rPr/>
        <w:t>Tax laws vary significantly across jurisdictions, impacting how profits from precious metals sales are treated.</w:t>
      </w:r>
    </w:p>
    <w:p>
      <w:pPr>
        <w:pStyle w:val="Normal"/>
        <w:rPr/>
      </w:pPr>
      <w:r>
        <w:rPr/>
        <w:t>(Expand this section with specific examples comparing French tax laws with those in other countries relevant to your target audience, e.g., UK, US, Germany. Consider aspects like capital gains taxes, VAT/sales tax, reporting requirements, and any specific exemptions or regulations.)</w:t>
      </w:r>
    </w:p>
    <w:p>
      <w:pPr>
        <w:pStyle w:val="Normal"/>
        <w:numPr>
          <w:ilvl w:val="0"/>
          <w:numId w:val="11"/>
        </w:numPr>
        <w:rPr/>
      </w:pPr>
      <w:r>
        <w:rPr/>
        <w:t>United States: Briefly discuss capital gains taxes on precious metals, including long-term vs. short-term holding periods. Mention the tax implications of gold IRAs.</w:t>
      </w:r>
    </w:p>
    <w:p>
      <w:pPr>
        <w:pStyle w:val="Normal"/>
        <w:numPr>
          <w:ilvl w:val="0"/>
          <w:numId w:val="11"/>
        </w:numPr>
        <w:rPr/>
      </w:pPr>
      <w:r>
        <w:rPr/>
        <w:t>United Kingdom: Address Capital Gains Tax on precious metals, mentioning potential exemptions and allowances. Briefly discuss VAT on silver and gold.</w:t>
      </w:r>
    </w:p>
    <w:p>
      <w:pPr>
        <w:pStyle w:val="Normal"/>
        <w:numPr>
          <w:ilvl w:val="0"/>
          <w:numId w:val="11"/>
        </w:numPr>
        <w:rPr/>
      </w:pPr>
      <w:r>
        <w:rPr/>
        <w:t>Germany: Briefly discuss the tax treatment of precious metals, including VAT on silver bars and potential exemptions for investment gold.</w:t>
      </w:r>
    </w:p>
    <w:p>
      <w:pPr>
        <w:pStyle w:val="Normal"/>
        <w:rPr/>
      </w:pPr>
      <w:r>
        <w:rPr/>
        <w:t>V. Common Tax Pitfalls to Avoid</w:t>
      </w:r>
    </w:p>
    <w:p>
      <w:pPr>
        <w:pStyle w:val="Normal"/>
        <w:rPr/>
      </w:pPr>
      <w:r>
        <w:rPr/>
        <w:t>Being aware of potential pitfalls can save investors significant costs and headaches.</w:t>
      </w:r>
    </w:p>
    <w:p>
      <w:pPr>
        <w:pStyle w:val="Normal"/>
        <w:numPr>
          <w:ilvl w:val="0"/>
          <w:numId w:val="12"/>
        </w:numPr>
        <w:rPr/>
      </w:pPr>
      <w:r>
        <w:rPr/>
        <w:t>The "Napoleon Trap": As mentioned earlier, avoid the misconception that Napoleon coins are tax-exempt in France. They are subject to the 11.5% precious metals tax.</w:t>
      </w:r>
    </w:p>
    <w:p>
      <w:pPr>
        <w:pStyle w:val="Normal"/>
        <w:numPr>
          <w:ilvl w:val="0"/>
          <w:numId w:val="12"/>
        </w:numPr>
        <w:rPr/>
      </w:pPr>
      <w:r>
        <w:rPr/>
        <w:t>Misidentification of Tokens: Be sure to correctly identify tokens and differentiate them from demonetized coins. This is crucial for applying the correct tax treatment and avoiding potential disputes with tax authorities. Research and consult with experts if uncertain.</w:t>
      </w:r>
    </w:p>
    <w:p>
      <w:pPr>
        <w:pStyle w:val="Normal"/>
        <w:numPr>
          <w:ilvl w:val="0"/>
          <w:numId w:val="12"/>
        </w:numPr>
        <w:rPr/>
      </w:pPr>
      <w:r>
        <w:rPr/>
        <w:t>Inadequate Documentation: Meticulously maintain all purchase records, including invoices, certificates, and payment confirmations. This documentation is crucial for tax reporting and minimizing potential tax liabilities.</w:t>
      </w:r>
    </w:p>
    <w:p>
      <w:pPr>
        <w:pStyle w:val="Normal"/>
        <w:numPr>
          <w:ilvl w:val="0"/>
          <w:numId w:val="12"/>
        </w:numPr>
        <w:rPr/>
      </w:pPr>
      <w:r>
        <w:rPr/>
        <w:t>Ignoring Changing Regulations: Tax laws and regulations are subject to change. Stay informed about current rules and consult with a tax advisor regularly to adapt your investment strategy accordingly.</w:t>
      </w:r>
    </w:p>
    <w:p>
      <w:pPr>
        <w:pStyle w:val="Normal"/>
        <w:numPr>
          <w:ilvl w:val="0"/>
          <w:numId w:val="12"/>
        </w:numPr>
        <w:rPr/>
      </w:pPr>
      <w:r>
        <w:rPr/>
        <w:t>Overlooking International Implications: For investors with assets or transactions in multiple countries, international tax considerations can be complex. Seek advice from a qualified international tax specialist to understand cross-border implications, tax treaties, and reporting requirements.</w:t>
      </w:r>
    </w:p>
    <w:p>
      <w:pPr>
        <w:pStyle w:val="Normal"/>
        <w:rPr/>
      </w:pPr>
      <w:r>
        <w:rPr/>
        <w:t>Conclusion:</w:t>
      </w:r>
    </w:p>
    <w:p>
      <w:pPr>
        <w:pStyle w:val="Normal"/>
        <w:rPr/>
      </w:pPr>
      <w:r>
        <w:rPr/>
        <w:t>Optimizing tax efficiency is a critical aspect of successful precious metals investing. Advanced investors in France need to understand the intricacies of the French tax system, including the 11.5% precious metals tax, the capital gains regime, and the VAT implications for different silver products. By distinguishing between demonetized coins, coins with legal tender, and tokens, investors can make informed decisions to minimize tax burdens. Advanced strategies, such as retaining invoices, keeping products sealed, and understanding tax loopholes, can further enhance tax efficiency. Finally, considering international tax implications and avoiding common pitfalls is essential for optimizing after-tax returns.</w:t>
      </w:r>
    </w:p>
    <w:p>
      <w:pPr>
        <w:pStyle w:val="Normal"/>
        <w:rPr/>
      </w:pPr>
      <w:r>
        <w:rPr/>
      </w:r>
    </w:p>
    <w:p>
      <w:pPr>
        <w:pStyle w:val="Normal"/>
        <w:rPr/>
      </w:pPr>
      <w:r>
        <w:rPr/>
        <w:t>Article 4 : Optimisation fiscale pour les investisseurs en métaux précieux : Guide pour naviguer dans des réglementations complexes</w:t>
      </w:r>
    </w:p>
    <w:p>
      <w:pPr>
        <w:pStyle w:val="Normal"/>
        <w:rPr/>
      </w:pPr>
      <w:r>
        <w:rPr/>
        <w:t>Introduction :</w:t>
      </w:r>
    </w:p>
    <w:p>
      <w:pPr>
        <w:pStyle w:val="Normal"/>
        <w:rPr/>
      </w:pPr>
      <w:r>
        <w:rPr/>
        <w:t>Investir dans les métaux précieux, bien qu'offrant des avantages potentiels tels que la diversification de portefeuille et une couverture contre l'inflation, implique de naviguer dans un paysage complexe de réglementations fiscales. Ces réglementations varient considérablement selon les juridictions et peuvent avoir un impact profond sur le rendement des investissements. Cet article fournit une analyse complète des stratégies d'optimisation fiscale pour les investisseurs en métaux précieux, se concentrant principalement sur le système fiscal français, tout en abordant les considérations internationales et les pièges courants à éviter. Ce guide s'adresse aux investisseurs avertis qui cherchent à minimiser leur charge fiscale et à maximiser leurs rendements après impôts. Avertissement : Cet article est fourni à titre informatif seulement et ne constitue pas un conseil financier ou fiscal. Consultez un professionnel qualifié pour obtenir des conseils personnalisés.</w:t>
      </w:r>
    </w:p>
    <w:p>
      <w:pPr>
        <w:pStyle w:val="Normal"/>
        <w:rPr/>
      </w:pPr>
      <w:r>
        <w:rPr/>
        <w:t>I. Implications fiscales pour les métaux précieux en France : Un aperçu complet</w:t>
      </w:r>
    </w:p>
    <w:p>
      <w:pPr>
        <w:pStyle w:val="Normal"/>
        <w:rPr/>
      </w:pPr>
      <w:r>
        <w:rPr/>
        <w:t>Le système fiscal français applique des règles spécifiques à la cession de métaux précieux, y compris l'impôt sur les plus-values, la taxe sur la valeur ajoutée (TVA) et certaines exemptions. Comprendre ces règles est essentiel pour prendre des décisions d'investissement éclairées.</w:t>
      </w:r>
    </w:p>
    <w:p>
      <w:pPr>
        <w:pStyle w:val="Normal"/>
        <w:rPr/>
      </w:pPr>
      <w:r>
        <w:rPr/>
        <w:t>A. Taxe sur les métaux précieux (11,5 %) :</w:t>
        <w:br/>
        <w:t>• La taxe standard appliquée à la cession de métaux précieux en France est de 11,5 % de la valeur totale de la transaction. Cette taxe s'applique que la cession génère un profit ou une perte, ce qui peut avoir un impact sur le rendement global de l'investissement, en particulier pour les détenteurs à court terme ou ceux qui vendent lors des baisses du marché.</w:t>
      </w:r>
    </w:p>
    <w:p>
      <w:pPr>
        <w:pStyle w:val="Normal"/>
        <w:rPr/>
      </w:pPr>
      <w:r>
        <w:rPr/>
        <w:t>B. Impôt sur les plus-values (36,2 % avec abattements) :</w:t>
        <w:br/>
        <w:t>• Comme alternative à la taxe de 11,5 %, les investisseurs peuvent opter pour le régime de l'impôt sur les plus-values. Ce régime applique un impôt d'environ 36,2 % sur la plus-value réalisée, plutôt que sur le montant total de la vente. Cela peut être avantageux pour les investisseurs qui ont détenu leurs métaux précieux pendant une période prolongée et qui ont accumulé des gains importants.</w:t>
        <w:br/>
        <w:t>• Avantage clé : Le régime de l'impôt sur les plus-values comprend un abattement annuel de 5 % après la deuxième année de détention. Cet abattement réduit efficacement la plus-value imposable, allégeant ainsi la charge fiscale globale.</w:t>
      </w:r>
    </w:p>
    <w:p>
      <w:pPr>
        <w:pStyle w:val="Normal"/>
        <w:rPr/>
      </w:pPr>
      <w:r>
        <w:rPr/>
        <w:t>C. Taxe sur la valeur ajoutée (TVA) :</w:t>
        <w:br/>
        <w:t>• Les lingots d'argent, considérés comme des matières premières industrielles en France, sont soumis à une TVA de 20 %. Cela augmente considérablement le coût d'investissement initial et a un impact sur les rendements potentiels. C'est un facteur crucial à prendre en compte lors de la comparaison des lingots d'argent avec d'autres options d'investissement.</w:t>
        <w:br/>
        <w:t>• Exemption clé : Les pièces d'argent ayant cours légal sont exemptées de TVA en France. Cette exemption les rend plus attrayantes pour les investisseurs par rapport aux lingots d'argent, permettant une acquisition d'argent physique plus rentable. L'or d'investissement est généralement également exempté de TVA.</w:t>
      </w:r>
    </w:p>
    <w:p>
      <w:pPr>
        <w:pStyle w:val="Normal"/>
        <w:rPr/>
      </w:pPr>
      <w:r>
        <w:rPr/>
        <w:t>II. Cours légal et fiscalité : Pièces démonétisées, pièces ayant cours légal et jetons</w:t>
      </w:r>
    </w:p>
    <w:p>
      <w:pPr>
        <w:pStyle w:val="Normal"/>
        <w:rPr/>
      </w:pPr>
      <w:r>
        <w:rPr/>
        <w:t>Le cours légal d'une pièce joue un rôle important dans la détermination de son traitement fiscal en France.</w:t>
      </w:r>
    </w:p>
    <w:p>
      <w:pPr>
        <w:pStyle w:val="Normal"/>
        <w:rPr/>
      </w:pPr>
      <w:r>
        <w:rPr/>
        <w:t>A. Pièces démonétisées (« Piège Napoléon ») :</w:t>
        <w:br/>
        <w:t>• Les pièces démonétisées, telles que la pièce d'or Napoléon française ou la pièce d'argent Hercule de 50 francs, n'ont plus cours légal et sont considérées comme des objets en métaux précieux. À ce titre, elles sont soumises à la taxe standard de 11,5 % sur les métaux précieux lors de leur revente, même si elles ont déjà circulé comme monnaie.</w:t>
        <w:br/>
        <w:t>• Le « piège Napoléon » fait référence à l'idée fausse répandue selon laquelle les pièces Napoléon, en raison de leur importance historique et de leur large reconnaissance, seraient exemptées de cette taxe. Les investisseurs doivent être conscients de ce piège potentiel lorsqu'ils envisagent les pièces Napoléon comme un investissement.</w:t>
      </w:r>
    </w:p>
    <w:p>
      <w:pPr>
        <w:pStyle w:val="Normal"/>
        <w:rPr/>
      </w:pPr>
      <w:r>
        <w:rPr/>
        <w:t>B. Pièces ayant cours légal :</w:t>
        <w:br/>
        <w:t>• Les pièces ayant actuellement cours légal, telles que la pièce d'or Philharmonique de Vienne ou le Souverain britannique, sont considérées comme des biens meubles en droit français. La revente de ces pièces est exonérée d'impôt jusqu'à une limite de 5 000 € par transaction. Cette exemption peut être très avantageuse pour les investisseurs, notamment pour gérer les liquidités ou effectuer des transactions plus petites et régulières.</w:t>
      </w:r>
    </w:p>
    <w:p>
      <w:pPr>
        <w:pStyle w:val="Normal"/>
        <w:rPr/>
      </w:pPr>
      <w:r>
        <w:rPr/>
        <w:t>C. Jetons (par exemple, refrappes de 20 francs suisses) :</w:t>
        <w:br/>
        <w:t>• Les jetons, tels que les refrappes de la pièce d'or suisse de 20 francs, ressemblent à des pièces, mais n'ont jamais eu cours légal officiel. Cependant, en vertu du droit fiscal français, ils entrent dans la même catégorie que les bijoux et sont exonérés d'impôt jusqu'à une limite de 5 000 € par transaction. Cela rend certains jetons spécifiques fiscalement avantageux pour les investisseurs, en particulier ceux qui cherchent à diversifier leurs avoirs en or.</w:t>
      </w:r>
    </w:p>
    <w:p>
      <w:pPr>
        <w:pStyle w:val="Normal"/>
        <w:rPr/>
      </w:pPr>
      <w:r>
        <w:rPr/>
        <w:t>III. Stratégies avancées de minimisation fiscale</w:t>
      </w:r>
    </w:p>
    <w:p>
      <w:pPr>
        <w:pStyle w:val="Normal"/>
        <w:rPr/>
      </w:pPr>
      <w:r>
        <w:rPr/>
        <w:t>Les investisseurs avisés peuvent employer diverses stratégies pour minimiser leur charge fiscale lors de la cession de métaux précieux.</w:t>
      </w:r>
    </w:p>
    <w:p>
      <w:pPr>
        <w:pStyle w:val="Normal"/>
        <w:rPr/>
      </w:pPr>
      <w:r>
        <w:rPr/>
        <w:t>A. Factures et preuves d'achat :</w:t>
        <w:br/>
        <w:t>• Conserver la facture originale ou une preuve d'achat auprès d'un vendeur réputé est essentiel pour opter pour le régime de l'impôt sur les plus-values. Cette documentation permet aux investisseurs de justifier le prix d'achat initial et de calculer la plus-value réelle, qui est ensuite soumise au taux d'imposition plus bas sur les plus-values (36,2 %) au lieu de la taxe standard de 11,5 % sur le montant total de la vente.</w:t>
      </w:r>
    </w:p>
    <w:p>
      <w:pPr>
        <w:pStyle w:val="Normal"/>
        <w:rPr/>
      </w:pPr>
      <w:r>
        <w:rPr/>
        <w:t>B. Emballage scellé :</w:t>
        <w:br/>
        <w:t>• Conserver les produits en métaux précieux dans leur emballage d'origine scellé peut encore améliorer les avantages fiscaux. En France, les produits scellés non ouverts, accompagnés d'une facture valide, bénéficient d'un traitement fiscal plus favorable dans le cadre du régime des plus-values, y compris le précieux abattement annuel de 5 % après la deuxième année.</w:t>
      </w:r>
    </w:p>
    <w:p>
      <w:pPr>
        <w:pStyle w:val="Normal"/>
        <w:rPr/>
      </w:pPr>
      <w:r>
        <w:rPr/>
        <w:t>C. Comprendre les niches fiscales :</w:t>
        <w:br/>
        <w:t>• Les investisseurs doivent se tenir informés des lois et réglementations fiscales en vigueur concernant les métaux précieux. Les changements législatifs peuvent créer des opportunités ou supprimer des niches fiscales. Consulter un conseiller fiscal spécialisé dans les actifs d'investissement peut fournir des informations précieuses pour naviguer dans les réglementations complexes et maximiser l'efficacité fiscale.</w:t>
      </w:r>
    </w:p>
    <w:p>
      <w:pPr>
        <w:pStyle w:val="Normal"/>
        <w:rPr/>
      </w:pPr>
      <w:r>
        <w:rPr/>
        <w:t>IV. Considérations fiscales internationales</w:t>
      </w:r>
    </w:p>
    <w:p>
      <w:pPr>
        <w:pStyle w:val="Normal"/>
        <w:rPr/>
      </w:pPr>
      <w:r>
        <w:rPr/>
        <w:t>Les lois fiscales varient considérablement d'une juridiction à l'autre, ce qui a une incidence sur la façon dont les bénéfices des cessions de métaux précieux sont traités.</w:t>
      </w:r>
    </w:p>
    <w:p>
      <w:pPr>
        <w:pStyle w:val="Normal"/>
        <w:rPr/>
      </w:pPr>
      <w:r>
        <w:rPr/>
        <w:t>(Développez cette section avec des exemples spécifiques comparant les lois fiscales françaises avec celles d'autres pays pertinents pour votre public cible, par exemple, le Royaume-Uni, les États-Unis, l'Allemagne. Prenez en compte des aspects tels que les impôts sur les plus-values, la TVA/taxe sur les ventes, les obligations déclaratives et toutes exemptions ou réglementations spécifiques.)</w:t>
      </w:r>
    </w:p>
    <w:p>
      <w:pPr>
        <w:pStyle w:val="Normal"/>
        <w:rPr/>
      </w:pPr>
      <w:r>
        <w:rPr>
          <w:rStyle w:val="Textesource"/>
        </w:rPr>
        <w:t xml:space="preserve">• </w:t>
      </w:r>
      <w:r>
        <w:rPr>
          <w:rStyle w:val="Textesource"/>
        </w:rPr>
        <w:t>États-Unis : Aborder brièvement les impôts sur les plus-values des métaux précieux, en distinguant les détentions à long terme et à court terme. Mentionner les implications fiscales des comptes d'épargne-retraite en or (Gold IRA).</w:t>
      </w:r>
    </w:p>
    <w:p>
      <w:pPr>
        <w:pStyle w:val="Normal"/>
        <w:rPr/>
      </w:pPr>
      <w:r>
        <w:rPr>
          <w:rStyle w:val="Textesource"/>
        </w:rPr>
        <w:t xml:space="preserve">• </w:t>
      </w:r>
      <w:r>
        <w:rPr>
          <w:rStyle w:val="Textesource"/>
        </w:rPr>
        <w:t>Royaume-Uni : Aborder l'impôt sur les plus-values (Capital Gains Tax) sur les métaux précieux, en mentionnant les exemptions et abattements potentiels. Discuter brièvement de la TVA sur l'argent et l'or.</w:t>
      </w:r>
    </w:p>
    <w:p>
      <w:pPr>
        <w:pStyle w:val="Normal"/>
        <w:rPr/>
      </w:pPr>
      <w:r>
        <w:rPr>
          <w:rStyle w:val="Textesource"/>
        </w:rPr>
        <w:t xml:space="preserve">• </w:t>
      </w:r>
      <w:r>
        <w:rPr>
          <w:rStyle w:val="Textesource"/>
        </w:rPr>
        <w:t>Allemagne : Aborder brièvement le traitement fiscal des métaux précieux, y compris la TVA sur les lingots d'argent et les exemptions potentielles pour l'or d'investissement.</w:t>
      </w:r>
    </w:p>
    <w:p>
      <w:pPr>
        <w:pStyle w:val="Normal"/>
        <w:rPr/>
      </w:pPr>
      <w:r>
        <w:rPr/>
        <w:t>content_copyUse code </w:t>
      </w:r>
      <w:hyperlink r:id="rId2" w:tgtFrame="_blank">
        <w:r>
          <w:rPr>
            <w:rStyle w:val="Hyperlink"/>
          </w:rPr>
          <w:t>with caution</w:t>
        </w:r>
      </w:hyperlink>
      <w:r>
        <w:rPr/>
        <w:t>.</w:t>
      </w:r>
    </w:p>
    <w:p>
      <w:pPr>
        <w:pStyle w:val="Normal"/>
        <w:rPr/>
      </w:pPr>
      <w:r>
        <w:rPr/>
        <w:t>V. Pièges fiscaux courants à éviter</w:t>
      </w:r>
    </w:p>
    <w:p>
      <w:pPr>
        <w:pStyle w:val="Normal"/>
        <w:rPr/>
      </w:pPr>
      <w:r>
        <w:rPr/>
        <w:t>Être conscient des pièges potentiels peut éviter aux investisseurs des coûts et des soucis importants.</w:t>
      </w:r>
    </w:p>
    <w:p>
      <w:pPr>
        <w:pStyle w:val="Normal"/>
        <w:rPr/>
      </w:pPr>
      <w:r>
        <w:rPr>
          <w:rStyle w:val="Textesource"/>
        </w:rPr>
        <w:t xml:space="preserve">• </w:t>
      </w:r>
      <w:r>
        <w:rPr>
          <w:rStyle w:val="Textesource"/>
        </w:rPr>
        <w:t>Le « Piège Napoléon » : Comme mentionné précédemment, éviter l'idée fausse que les pièces Napoléon sont exonérées d'impôt en France. Elles sont soumises à la taxe de 11,5 % sur les métaux précieux.</w:t>
      </w:r>
    </w:p>
    <w:p>
      <w:pPr>
        <w:pStyle w:val="Normal"/>
        <w:rPr/>
      </w:pPr>
      <w:r>
        <w:rPr>
          <w:rStyle w:val="Textesource"/>
        </w:rPr>
        <w:t xml:space="preserve">• </w:t>
      </w:r>
      <w:r>
        <w:rPr>
          <w:rStyle w:val="Textesource"/>
        </w:rPr>
        <w:t>Mauvaise identification des jetons : S'assurer d'identifier correctement les jetons et de les différencier des pièces démonétisées. Ceci est crucial pour appliquer le traitement fiscal correct et éviter d'éventuels litiges avec l'administration fiscale. Effectuer des recherches et consulter des experts en cas d'incertitude.</w:t>
      </w:r>
    </w:p>
    <w:p>
      <w:pPr>
        <w:pStyle w:val="Normal"/>
        <w:rPr/>
      </w:pPr>
      <w:r>
        <w:rPr>
          <w:rStyle w:val="Textesource"/>
        </w:rPr>
        <w:t xml:space="preserve">• </w:t>
      </w:r>
      <w:r>
        <w:rPr>
          <w:rStyle w:val="Textesource"/>
        </w:rPr>
        <w:t>Documentation inadéquate : Conserver méticuleusement tous les justificatifs d'achat, y compris les factures, les certificats et les confirmations de paiement. Cette documentation est essentielle pour les déclarations fiscales et la minimisation des obligations fiscales potentielles.</w:t>
      </w:r>
    </w:p>
    <w:p>
      <w:pPr>
        <w:pStyle w:val="Normal"/>
        <w:rPr/>
      </w:pPr>
      <w:r>
        <w:rPr>
          <w:rStyle w:val="Textesource"/>
        </w:rPr>
        <w:t xml:space="preserve">• </w:t>
      </w:r>
      <w:r>
        <w:rPr>
          <w:rStyle w:val="Textesource"/>
        </w:rPr>
        <w:t>Ignorer l'évolution des réglementations : Les lois et réglementations fiscales sont sujettes à modification. Se tenir informé des règles en vigueur et consulter régulièrement un conseiller fiscal pour adapter sa stratégie d'investissement en conséquence.</w:t>
      </w:r>
    </w:p>
    <w:p>
      <w:pPr>
        <w:pStyle w:val="Normal"/>
        <w:rPr/>
      </w:pPr>
      <w:r>
        <w:rPr>
          <w:rStyle w:val="Textesource"/>
        </w:rPr>
        <w:t xml:space="preserve">• </w:t>
      </w:r>
      <w:r>
        <w:rPr>
          <w:rStyle w:val="Textesource"/>
        </w:rPr>
        <w:t>Négliger les implications internationales : Pour les investisseurs détenant des actifs ou réalisant des transactions dans plusieurs pays, les considérations fiscales internationales peuvent être complexes. Demander conseil à un spécialiste fiscal international qualifié pour comprendre les implications transfrontalières, les conventions fiscales et les obligations déclaratives.</w:t>
      </w:r>
    </w:p>
    <w:p>
      <w:pPr>
        <w:pStyle w:val="Normal"/>
        <w:rPr/>
      </w:pPr>
      <w:r>
        <w:rPr/>
        <w:t>content_copyUse code </w:t>
      </w:r>
      <w:hyperlink r:id="rId3" w:tgtFrame="_blank">
        <w:r>
          <w:rPr>
            <w:rStyle w:val="Hyperlink"/>
          </w:rPr>
          <w:t>with caution</w:t>
        </w:r>
      </w:hyperlink>
      <w:r>
        <w:rPr/>
        <w:t>.</w:t>
      </w:r>
    </w:p>
    <w:p>
      <w:pPr>
        <w:pStyle w:val="Normal"/>
        <w:rPr/>
      </w:pPr>
      <w:r>
        <w:rPr/>
        <w:t>Conclusion :</w:t>
      </w:r>
    </w:p>
    <w:p>
      <w:pPr>
        <w:pStyle w:val="Normal"/>
        <w:rPr/>
      </w:pPr>
      <w:r>
        <w:rPr/>
        <w:t>Optimiser l'efficacité fiscale est un aspect essentiel de la réussite des investissements dans les métaux précieux. Les investisseurs avertis en France doivent comprendre les subtilités du système fiscal français, notamment la taxe de 11,5 % sur les métaux précieux, le régime des plus-values et les implications de la TVA pour les différents produits en argent. En distinguant les pièces démonétisées, les pièces ayant cours légal et les jetons, les investisseurs peuvent prendre des décisions éclairées pour minimiser leur charge fiscale. Des stratégies avancées, telles que la conservation des factures, le maintien des produits scellés et la compréhension des niches fiscales, peuvent encore améliorer l'efficacité fiscale. Enfin, la prise en compte des implications fiscales internationales et la prévention des pièges courants sont essentielles pour optimiser les rendements après impôts.</w:t>
      </w:r>
    </w:p>
    <w:p>
      <w:pPr>
        <w:pStyle w:val="Normal"/>
        <w:widowControl/>
        <w:bidi w:val="0"/>
        <w:spacing w:lineRule="auto" w:line="276" w:beforeAutospacing="0" w:before="0" w:afterAutospacing="0" w:after="200"/>
        <w:jc w:val="left"/>
        <w:rPr/>
      </w:pPr>
      <w:r>
        <w:rPr/>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2">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3">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4">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5">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6">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7">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8">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9">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0">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1">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2">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Caractresdenotedebasdepage">
    <w:name w:val="Caractères de note de bas de page"/>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uiPriority w:val="99"/>
    <w:semiHidden/>
    <w:qFormat/>
    <w:rPr>
      <w:sz w:val="20"/>
      <w:szCs w:val="20"/>
    </w:rPr>
  </w:style>
  <w:style w:type="character" w:styleId="Caractresdenotedefin">
    <w:name w:val="Caractères de note de fin"/>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En-tteetpieddepage">
    <w:name w:val="En-tête et pied de page"/>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Titre"/>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styleId="11">
    <w:name w:val="Table Grid"/>
    <w:basedOn w:val="66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
    <w:name w:val="Table Grid Light"/>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
    <w:name w:val="Plain Table 1"/>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
    <w:name w:val="Plain Table 2"/>
    <w:basedOn w:val="66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
    <w:name w:val="Plain Table 3"/>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
    <w:name w:val="Plain Table 4"/>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
    <w:name w:val="Plain Table 5"/>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8">
    <w:name w:val="Grid Table 1 Light"/>
    <w:basedOn w:val="66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9">
    <w:name w:val="Grid Table 1 Light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0">
    <w:name w:val="Grid Table 1 Light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1">
    <w:name w:val="Grid Table 1 Light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2">
    <w:name w:val="Grid Table 1 Light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3">
    <w:name w:val="Grid Table 1 Light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4">
    <w:name w:val="Grid Table 1 Light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5">
    <w:name w:val="Grid Table 2"/>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6">
    <w:name w:val="Grid Table 2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7">
    <w:name w:val="Grid Table 2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8">
    <w:name w:val="Grid Table 2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9">
    <w:name w:val="Grid Table 2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0">
    <w:name w:val="Grid Table 2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1">
    <w:name w:val="Grid Table 2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2">
    <w:name w:val="Grid Table 3"/>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3">
    <w:name w:val="Grid Table 3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4">
    <w:name w:val="Grid Table 3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5">
    <w:name w:val="Grid Table 3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6">
    <w:name w:val="Grid Table 3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7">
    <w:name w:val="Grid Table 3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8">
    <w:name w:val="Grid Table 3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9">
    <w:name w:val="Grid Table 4"/>
    <w:basedOn w:val="66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0">
    <w:name w:val="Grid Table 4 - Accent 1"/>
    <w:basedOn w:val="66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FEBF7" w:themeFill="accent1" w:themeFillTint="32"/>
      </w:tcPr>
    </w:tblStylePr>
    <w:tblStylePr w:type="band1Vert">
      <w:pPr/>
      <w:rPr>
        <w:sz w:val="22"/>
      </w:rPr>
      <w:tblPr/>
      <w:tcPr>
        <w:shd w:val="clear" w:color="FFFFFF" w:fill="DFEBF7"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1">
    <w:name w:val="Grid Table 4 - Accent 2"/>
    <w:basedOn w:val="66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2">
    <w:name w:val="Grid Table 4 - Accent 3"/>
    <w:basedOn w:val="66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3">
    <w:name w:val="Grid Table 4 - Accent 4"/>
    <w:basedOn w:val="66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4">
    <w:name w:val="Grid Table 4 - Accent 5"/>
    <w:basedOn w:val="66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5">
    <w:name w:val="Grid Table 4 - Accent 6"/>
    <w:basedOn w:val="66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6">
    <w:name w:val="Grid Table 5 Dark"/>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7">
    <w:name w:val="Grid Table 5 Dark- Accent 1"/>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8">
    <w:name w:val="Grid Table 5 Dark - Accent 2"/>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Grid Table 5 Dark - Accent 3"/>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0">
    <w:name w:val="Grid Table 5 Dark- Accent 4"/>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Grid Table 5 Dark - Accent 5"/>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Grid Table 5 Dark - Accent 6"/>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3">
    <w:name w:val="Grid Table 6 Colorful"/>
    <w:basedOn w:val="66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54">
    <w:name w:val="Grid Table 6 Colorful - Accent 1"/>
    <w:basedOn w:val="66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55">
    <w:name w:val="Grid Table 6 Colorful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56">
    <w:name w:val="Grid Table 6 Colorful - Accent 3"/>
    <w:basedOn w:val="66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57">
    <w:name w:val="Grid Table 6 Colorful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58">
    <w:name w:val="Grid Table 6 Colorful - Accent 5"/>
    <w:basedOn w:val="66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59">
    <w:name w:val="Grid Table 6 Colorful - Accent 6"/>
    <w:basedOn w:val="66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60">
    <w:name w:val="Grid Table 7 Colorful"/>
    <w:basedOn w:val="66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1">
    <w:name w:val="Grid Table 7 Colorful - Accent 1"/>
    <w:basedOn w:val="66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7 Colorful - Accent 2"/>
    <w:basedOn w:val="66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7 Colorful - Accent 3"/>
    <w:basedOn w:val="66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7 Colorful - Accent 4"/>
    <w:basedOn w:val="66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7 Colorful - Accent 5"/>
    <w:basedOn w:val="66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pPr/>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Shade="95"/>
        <w:sz w:val="22"/>
      </w:rPr>
      <w:tblPr/>
      <w:tcPr>
        <w:tcBorders>
          <w:top w:val="none"/>
          <w:left w:val="single" w:color="000000" w:themeColor="accent5" w:sz="4" w:space="0"/>
          <w:bottom w:val="none"/>
          <w:right w:val="none"/>
        </w:tcBorders>
        <w:shd w:color="FFFFFF"/>
      </w:tcPr>
    </w:tblStylePr>
    <w:tblStylePr w:type="lastRow">
      <w:pPr/>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7 Colorful - Accent 6"/>
    <w:basedOn w:val="66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pPr/>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Shade="95"/>
        <w:sz w:val="22"/>
      </w:rPr>
      <w:tblPr/>
      <w:tcPr>
        <w:tcBorders>
          <w:top w:val="none"/>
          <w:left w:val="single" w:color="000000" w:themeColor="accent6" w:sz="4" w:space="0"/>
          <w:bottom w:val="none"/>
          <w:right w:val="none"/>
        </w:tcBorders>
        <w:shd w:color="FFFFFF"/>
      </w:tcPr>
    </w:tblStylePr>
    <w:tblStylePr w:type="lastRow">
      <w:pPr/>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
    <w:name w:val="List Table 1 Light"/>
    <w:basedOn w:val="661"/>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List Table 1 Light - Accent 1"/>
    <w:basedOn w:val="661"/>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List Table 1 Light - Accent 2"/>
    <w:basedOn w:val="661"/>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List Table 1 Light - Accent 3"/>
    <w:basedOn w:val="661"/>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List Table 1 Light - Accent 4"/>
    <w:basedOn w:val="661"/>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List Table 1 Light - Accent 5"/>
    <w:basedOn w:val="661"/>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List Table 1 Light - Accent 6"/>
    <w:basedOn w:val="661"/>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
    <w:name w:val="List Table 2"/>
    <w:basedOn w:val="66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List Table 2 - Accent 1"/>
    <w:basedOn w:val="66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List Table 2 - Accent 2"/>
    <w:basedOn w:val="66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List Table 2 - Accent 3"/>
    <w:basedOn w:val="66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List Table 2 - Accent 4"/>
    <w:basedOn w:val="66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List Table 2 - Accent 5"/>
    <w:basedOn w:val="66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List Table 2 - Accent 6"/>
    <w:basedOn w:val="66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
    <w:name w:val="List Table 3"/>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List Table 3 - Accent 1"/>
    <w:basedOn w:val="66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List Table 3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List Table 3 - Accent 3"/>
    <w:basedOn w:val="66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List Table 3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List Table 3 - Accent 5"/>
    <w:basedOn w:val="66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A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List Table 3 - Accent 6"/>
    <w:basedOn w:val="66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
    <w:name w:val="List Table 4"/>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List Table 4 - Accent 1"/>
    <w:basedOn w:val="66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List Table 4 - Accent 2"/>
    <w:basedOn w:val="66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
    <w:name w:val="List Table 4 - Accent 3"/>
    <w:basedOn w:val="66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
    <w:name w:val="List Table 4 - Accent 4"/>
    <w:basedOn w:val="66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
    <w:name w:val="List Table 4 - Accent 5"/>
    <w:basedOn w:val="66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
    <w:name w:val="List Table 4 - Accent 6"/>
    <w:basedOn w:val="66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
    <w:name w:val="List Table 5 Dark"/>
    <w:basedOn w:val="66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6">
    <w:name w:val="List Table 5 Dark - Accent 1"/>
    <w:basedOn w:val="66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7">
    <w:name w:val="List Table 5 Dark - Accent 2"/>
    <w:basedOn w:val="66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8">
    <w:name w:val="List Table 5 Dark - Accent 3"/>
    <w:basedOn w:val="66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9">
    <w:name w:val="List Table 5 Dark - Accent 4"/>
    <w:basedOn w:val="66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0">
    <w:name w:val="List Table 5 Dark - Accent 5"/>
    <w:basedOn w:val="66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1">
    <w:name w:val="List Table 5 Dark - Accent 6"/>
    <w:basedOn w:val="66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2">
    <w:name w:val="List Table 6 Colorful"/>
    <w:basedOn w:val="66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3">
    <w:name w:val="List Table 6 Colorful - Accent 1"/>
    <w:basedOn w:val="66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6 Colorful - Accent 2"/>
    <w:basedOn w:val="66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6 Colorful - Accent 3"/>
    <w:basedOn w:val="66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6 Colorful - Accent 4"/>
    <w:basedOn w:val="66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6 Colorful - Accent 5"/>
    <w:basedOn w:val="66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6 Colorful - Accent 6"/>
    <w:basedOn w:val="66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9">
    <w:name w:val="List Table 7 Colorful"/>
    <w:basedOn w:val="661"/>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110">
    <w:name w:val="List Table 7 Colorful - Accent 1"/>
    <w:basedOn w:val="661"/>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pPr/>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Shade="95"/>
        <w:sz w:val="22"/>
      </w:rPr>
      <w:tblPr/>
      <w:tcPr>
        <w:tcBorders>
          <w:top w:val="none"/>
          <w:left w:val="single" w:color="000000" w:themeColor="accent1" w:sz="4" w:space="0"/>
          <w:bottom w:val="none"/>
          <w:right w:val="none"/>
        </w:tcBorders>
        <w:shd w:color="FFFFFF"/>
      </w:tcPr>
    </w:tblStylePr>
    <w:tblStylePr w:type="lastRow">
      <w:pPr/>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111">
    <w:name w:val="List Table 7 Colorful - Accent 2"/>
    <w:basedOn w:val="661"/>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112">
    <w:name w:val="List Table 7 Colorful - Accent 3"/>
    <w:basedOn w:val="661"/>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113">
    <w:name w:val="List Table 7 Colorful - Accent 4"/>
    <w:basedOn w:val="661"/>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114">
    <w:name w:val="List Table 7 Colorful - Accent 5"/>
    <w:basedOn w:val="661"/>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115">
    <w:name w:val="List Table 7 Colorful - Accent 6"/>
    <w:basedOn w:val="661"/>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116">
    <w:name w:val="Lined - Accent"/>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7">
    <w:name w:val="Lined - Accent 1"/>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8">
    <w:name w:val="Lined - Accent 2"/>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9">
    <w:name w:val="Lined - Accent 3"/>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0">
    <w:name w:val="Lined - Accent 4"/>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1">
    <w:name w:val="Lined - Accent 5"/>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2">
    <w:name w:val="Lined - Accent 6"/>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3">
    <w:name w:val="Bordered &amp; Lined - Accent"/>
    <w:basedOn w:val="661"/>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4">
    <w:name w:val="Bordered &amp; Lined - Accent 1"/>
    <w:basedOn w:val="661"/>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5">
    <w:name w:val="Bordered &amp; Lined - Accent 2"/>
    <w:basedOn w:val="661"/>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6">
    <w:name w:val="Bordered &amp; Lined - Accent 3"/>
    <w:basedOn w:val="661"/>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7">
    <w:name w:val="Bordered &amp; Lined - Accent 4"/>
    <w:basedOn w:val="661"/>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8">
    <w:name w:val="Bordered &amp; Lined - Accent 5"/>
    <w:basedOn w:val="661"/>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9">
    <w:name w:val="Bordered &amp; Lined - Accent 6"/>
    <w:basedOn w:val="661"/>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0">
    <w:name w:val="Bordered"/>
    <w:basedOn w:val="66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1">
    <w:name w:val="Bordered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2">
    <w:name w:val="Bordered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3">
    <w:name w:val="Bordered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4">
    <w:name w:val="Bordered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5">
    <w:name w:val="Bordered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6">
    <w:name w:val="Bordered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661">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pport.google.com/legal/answer/13505487" TargetMode="External"/><Relationship Id="rId3" Type="http://schemas.openxmlformats.org/officeDocument/2006/relationships/hyperlink" Target="https://support.google.com/legal/answer/13505487"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LibreOffice/7.6.7.2$Windows_X86_64 LibreOffice_project/dd47e4b30cb7dab30588d6c79c651f218165e3c5</Application>
  <AppVersion>15.0000</AppVersion>
  <Pages>7</Pages>
  <Words>2926</Words>
  <Characters>16844</Characters>
  <CharactersWithSpaces>19659</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2024-12-09T17:41:09Z</dcterms:modified>
  <cp:revision>2</cp:revision>
  <dc:subject/>
  <dc:title/>
</cp:coreProperties>
</file>