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6F4E"/>
          <w:sz w:val="56"/>
          <w:szCs w:val="56"/>
        </w:rPr>
        <w:t>Herbatium</w:t>
      </w:r>
    </w:p>
    <w:p>
      <w:pPr>
        <w:spacing w:after="200"/>
      </w:pPr>
      <w:r>
        <w:rPr>
          <w:b/>
          <w:bCs/>
          <w:sz w:val="32"/>
          <w:szCs w:val="32"/>
        </w:rPr>
        <w:t xml:space="preserve">Registrul activităților de prelucrare și procedurile GDPR</w:t>
      </w:r>
    </w:p>
    <w:p>
      <w:pPr>
        <w:spacing w:after="300"/>
      </w:pPr>
      <w:r>
        <w:rPr>
          <w:color w:val="6B6B6B"/>
        </w:rPr>
        <w:t>Document intern — pentru operatorul aplicației Herbatium (nu se publică public). Descrie ce date personale colectează și prelucrează aplicația, cu ce temei legal, cât timp se păstrează, și procedurile de urmat la o cerere a unei persoane vizate sau la o breșă de securitate.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2F6F4E" w:val="clear"/>
            <w:tcMar>
              <w:top w:type="dxa" w:w="80"/>
              <w:left w:type="dxa" w:w="100"/>
              <w:bottom w:type="dxa" w:w="80"/>
              <w:right w:type="dxa" w:w="100"/>
            </w:tcMar>
          </w:tcPr>
          <w:p>
            <w:r>
              <w:rPr>
                <w:b/>
                <w:bCs/>
                <w:color w:val="FFFFFF"/>
                <w:sz w:val="19"/>
                <w:szCs w:val="19"/>
              </w:rPr>
              <w:t xml:space="preserve">Câmp</w:t>
            </w:r>
          </w:p>
        </w:tc>
        <w:tc>
          <w:tcPr>
            <w:tcW w:type="dxa" w:w="5400"/>
            <w:shd w:fill="2F6F4E" w:val="clear"/>
            <w:tcMar>
              <w:top w:type="dxa" w:w="80"/>
              <w:left w:type="dxa" w:w="100"/>
              <w:bottom w:type="dxa" w:w="80"/>
              <w:right w:type="dxa" w:w="100"/>
            </w:tcMar>
          </w:tcPr>
          <w:p>
            <w:r>
              <w:rPr>
                <w:b/>
                <w:bCs/>
                <w:color w:val="FFFFFF"/>
                <w:sz w:val="19"/>
                <w:szCs w:val="19"/>
              </w:rPr>
              <w:t xml:space="preserve">Valoare</w:t>
            </w:r>
          </w:p>
        </w:tc>
      </w:tr>
      <w:tr>
        <w:tc>
          <w:tcPr>
            <w:tcW w:type="dxa" w:w="4200"/>
            <w:tcMar>
              <w:top w:type="dxa" w:w="80"/>
              <w:left w:type="dxa" w:w="100"/>
              <w:bottom w:type="dxa" w:w="80"/>
              <w:right w:type="dxa" w:w="100"/>
            </w:tcMar>
          </w:tcPr>
          <w:p>
            <w:r>
              <w:rPr>
                <w:b w:val="false"/>
                <w:bCs w:val="false"/>
                <w:sz w:val="19"/>
                <w:szCs w:val="19"/>
              </w:rPr>
              <w:t xml:space="preserve">Aplicație / produs</w:t>
            </w:r>
          </w:p>
        </w:tc>
        <w:tc>
          <w:tcPr>
            <w:tcW w:type="dxa" w:w="5400"/>
            <w:tcMar>
              <w:top w:type="dxa" w:w="80"/>
              <w:left w:type="dxa" w:w="100"/>
              <w:bottom w:type="dxa" w:w="80"/>
              <w:right w:type="dxa" w:w="100"/>
            </w:tcMar>
          </w:tcPr>
          <w:p>
            <w:r>
              <w:rPr>
                <w:b w:val="false"/>
                <w:bCs w:val="false"/>
                <w:sz w:val="19"/>
                <w:szCs w:val="19"/>
              </w:rPr>
              <w:t>Herbatium — SaaS pentru micii producători de cosmetice naturale</w:t>
            </w:r>
          </w:p>
        </w:tc>
      </w:tr>
      <w:tr>
        <w:tc>
          <w:tcPr>
            <w:tcW w:type="dxa" w:w="4200"/>
            <w:tcMar>
              <w:top w:type="dxa" w:w="80"/>
              <w:left w:type="dxa" w:w="100"/>
              <w:bottom w:type="dxa" w:w="80"/>
              <w:right w:type="dxa" w:w="100"/>
            </w:tcMar>
          </w:tcPr>
          <w:p>
            <w:r>
              <w:rPr>
                <w:b w:val="false"/>
                <w:bCs w:val="false"/>
                <w:sz w:val="19"/>
                <w:szCs w:val="19"/>
              </w:rPr>
              <w:t xml:space="preserve">Operator de date (pentru contul utilizatorului — producătorul)</w:t>
            </w:r>
          </w:p>
        </w:tc>
        <w:tc>
          <w:tcPr>
            <w:tcW w:type="dxa" w:w="5400"/>
            <w:tcMar>
              <w:top w:type="dxa" w:w="80"/>
              <w:left w:type="dxa" w:w="100"/>
              <w:bottom w:type="dxa" w:w="80"/>
              <w:right w:type="dxa" w:w="100"/>
            </w:tcMar>
          </w:tcPr>
          <w:p>
            <w:r>
              <w:rPr>
                <w:b w:val="false"/>
                <w:bCs w:val="false"/>
                <w:sz w:val="19"/>
                <w:szCs w:val="19"/>
              </w:rPr>
              <w:t>[completează: denumirea firmei/PFA care operează Herbatium — vezi COMPANY_NAME în .env]</w:t>
            </w:r>
          </w:p>
        </w:tc>
      </w:tr>
      <w:tr>
        <w:tc>
          <w:tcPr>
            <w:tcW w:type="dxa" w:w="4200"/>
            <w:tcMar>
              <w:top w:type="dxa" w:w="80"/>
              <w:left w:type="dxa" w:w="100"/>
              <w:bottom w:type="dxa" w:w="80"/>
              <w:right w:type="dxa" w:w="100"/>
            </w:tcMar>
          </w:tcPr>
          <w:p>
            <w:r>
              <w:rPr>
                <w:b w:val="false"/>
                <w:bCs w:val="false"/>
                <w:sz w:val="19"/>
                <w:szCs w:val="19"/>
              </w:rPr>
              <w:t xml:space="preserve">CUI / CIF</w:t>
            </w:r>
          </w:p>
        </w:tc>
        <w:tc>
          <w:tcPr>
            <w:tcW w:type="dxa" w:w="5400"/>
            <w:tcMar>
              <w:top w:type="dxa" w:w="80"/>
              <w:left w:type="dxa" w:w="100"/>
              <w:bottom w:type="dxa" w:w="80"/>
              <w:right w:type="dxa" w:w="100"/>
            </w:tcMar>
          </w:tcPr>
          <w:p>
            <w:r>
              <w:rPr>
                <w:b w:val="false"/>
                <w:bCs w:val="false"/>
                <w:sz w:val="19"/>
                <w:szCs w:val="19"/>
              </w:rPr>
              <w:t xml:space="preserve">[completează: vezi COMPANY_CUI în .env]</w:t>
            </w:r>
          </w:p>
        </w:tc>
      </w:tr>
      <w:tr>
        <w:tc>
          <w:tcPr>
            <w:tcW w:type="dxa" w:w="4200"/>
            <w:tcMar>
              <w:top w:type="dxa" w:w="80"/>
              <w:left w:type="dxa" w:w="100"/>
              <w:bottom w:type="dxa" w:w="80"/>
              <w:right w:type="dxa" w:w="100"/>
            </w:tcMar>
          </w:tcPr>
          <w:p>
            <w:r>
              <w:rPr>
                <w:b w:val="false"/>
                <w:bCs w:val="false"/>
                <w:sz w:val="19"/>
                <w:szCs w:val="19"/>
              </w:rPr>
              <w:t xml:space="preserve">Adresă sediu</w:t>
            </w:r>
          </w:p>
        </w:tc>
        <w:tc>
          <w:tcPr>
            <w:tcW w:type="dxa" w:w="5400"/>
            <w:tcMar>
              <w:top w:type="dxa" w:w="80"/>
              <w:left w:type="dxa" w:w="100"/>
              <w:bottom w:type="dxa" w:w="80"/>
              <w:right w:type="dxa" w:w="100"/>
            </w:tcMar>
          </w:tcPr>
          <w:p>
            <w:r>
              <w:rPr>
                <w:b w:val="false"/>
                <w:bCs w:val="false"/>
                <w:sz w:val="19"/>
                <w:szCs w:val="19"/>
              </w:rPr>
              <w:t xml:space="preserve">[completează: vezi COMPANY_ADDRESS în .env]</w:t>
            </w:r>
          </w:p>
        </w:tc>
      </w:tr>
      <w:tr>
        <w:tc>
          <w:tcPr>
            <w:tcW w:type="dxa" w:w="4200"/>
            <w:tcMar>
              <w:top w:type="dxa" w:w="80"/>
              <w:left w:type="dxa" w:w="100"/>
              <w:bottom w:type="dxa" w:w="80"/>
              <w:right w:type="dxa" w:w="100"/>
            </w:tcMar>
          </w:tcPr>
          <w:p>
            <w:r>
              <w:rPr>
                <w:b w:val="false"/>
                <w:bCs w:val="false"/>
                <w:sz w:val="19"/>
                <w:szCs w:val="19"/>
              </w:rPr>
              <w:t xml:space="preserve">Rol față de datele introduse de producători (rețete, loturi, produse, clienți proprii etc.)</w:t>
            </w:r>
          </w:p>
        </w:tc>
        <w:tc>
          <w:tcPr>
            <w:tcW w:type="dxa" w:w="5400"/>
            <w:tcMar>
              <w:top w:type="dxa" w:w="80"/>
              <w:left w:type="dxa" w:w="100"/>
              <w:bottom w:type="dxa" w:w="80"/>
              <w:right w:type="dxa" w:w="100"/>
            </w:tcMar>
          </w:tcPr>
          <w:p>
            <w:r>
              <w:rPr>
                <w:b w:val="false"/>
                <w:bCs w:val="false"/>
                <w:sz w:val="19"/>
                <w:szCs w:val="19"/>
              </w:rPr>
              <w:t xml:space="preserve">Persoană împuternicită (procesator) — vezi secțiunea 3</w:t>
            </w:r>
          </w:p>
        </w:tc>
      </w:tr>
      <w:tr>
        <w:tc>
          <w:tcPr>
            <w:tcW w:type="dxa" w:w="4200"/>
            <w:tcMar>
              <w:top w:type="dxa" w:w="80"/>
              <w:left w:type="dxa" w:w="100"/>
              <w:bottom w:type="dxa" w:w="80"/>
              <w:right w:type="dxa" w:w="100"/>
            </w:tcMar>
          </w:tcPr>
          <w:p>
            <w:r>
              <w:rPr>
                <w:b w:val="false"/>
                <w:bCs w:val="false"/>
                <w:sz w:val="19"/>
                <w:szCs w:val="19"/>
              </w:rPr>
              <w:t xml:space="preserve">Versiune document</w:t>
            </w:r>
          </w:p>
        </w:tc>
        <w:tc>
          <w:tcPr>
            <w:tcW w:type="dxa" w:w="5400"/>
            <w:tcMar>
              <w:top w:type="dxa" w:w="80"/>
              <w:left w:type="dxa" w:w="100"/>
              <w:bottom w:type="dxa" w:w="80"/>
              <w:right w:type="dxa" w:w="100"/>
            </w:tcMar>
          </w:tcPr>
          <w:p>
            <w:r>
              <w:rPr>
                <w:b w:val="false"/>
                <w:bCs w:val="false"/>
                <w:sz w:val="19"/>
                <w:szCs w:val="19"/>
              </w:rPr>
              <w:t xml:space="preserve">1.0 — sincronizată cu LEGAL_VERSION din .env</w:t>
            </w:r>
          </w:p>
        </w:tc>
      </w:tr>
      <w:tr>
        <w:tc>
          <w:tcPr>
            <w:tcW w:type="dxa" w:w="4200"/>
            <w:tcMar>
              <w:top w:type="dxa" w:w="80"/>
              <w:left w:type="dxa" w:w="100"/>
              <w:bottom w:type="dxa" w:w="80"/>
              <w:right w:type="dxa" w:w="100"/>
            </w:tcMar>
          </w:tcPr>
          <w:p>
            <w:r>
              <w:rPr>
                <w:b w:val="false"/>
                <w:bCs w:val="false"/>
                <w:sz w:val="19"/>
                <w:szCs w:val="19"/>
              </w:rPr>
              <w:t xml:space="preserve">Data ultimei actualizări</w:t>
            </w:r>
          </w:p>
        </w:tc>
        <w:tc>
          <w:tcPr>
            <w:tcW w:type="dxa" w:w="5400"/>
            <w:tcMar>
              <w:top w:type="dxa" w:w="80"/>
              <w:left w:type="dxa" w:w="100"/>
              <w:bottom w:type="dxa" w:w="80"/>
              <w:right w:type="dxa" w:w="100"/>
            </w:tcMar>
          </w:tcPr>
          <w:p>
            <w:r>
              <w:rPr>
                <w:b w:val="false"/>
                <w:bCs w:val="false"/>
                <w:sz w:val="19"/>
                <w:szCs w:val="19"/>
              </w:rPr>
              <w:t xml:space="preserve">[completează la fiecare revizuire substanțială]</w:t>
            </w:r>
          </w:p>
        </w:tc>
      </w:tr>
      <w:tr>
        <w:tc>
          <w:tcPr>
            <w:tcW w:type="dxa" w:w="4200"/>
            <w:tcMar>
              <w:top w:type="dxa" w:w="80"/>
              <w:left w:type="dxa" w:w="100"/>
              <w:bottom w:type="dxa" w:w="80"/>
              <w:right w:type="dxa" w:w="100"/>
            </w:tcMar>
          </w:tcPr>
          <w:p>
            <w:r>
              <w:rPr>
                <w:b w:val="false"/>
                <w:bCs w:val="false"/>
                <w:sz w:val="19"/>
                <w:szCs w:val="19"/>
              </w:rPr>
              <w:t xml:space="preserve">Responsabil pentru cereri GDPR</w:t>
            </w:r>
          </w:p>
        </w:tc>
        <w:tc>
          <w:tcPr>
            <w:tcW w:type="dxa" w:w="5400"/>
            <w:tcMar>
              <w:top w:type="dxa" w:w="80"/>
              <w:left w:type="dxa" w:w="100"/>
              <w:bottom w:type="dxa" w:w="80"/>
              <w:right w:type="dxa" w:w="100"/>
            </w:tcMar>
          </w:tcPr>
          <w:p>
            <w:r>
              <w:rPr>
                <w:b w:val="false"/>
                <w:bCs w:val="false"/>
                <w:sz w:val="19"/>
                <w:szCs w:val="19"/>
              </w:rPr>
              <w:t xml:space="preserve">[completează: nume/rol] — email: [completează: COMPANY_GDPR_EMAIL din .env]</w:t>
            </w:r>
          </w:p>
        </w:tc>
      </w:tr>
    </w:tbl>
    <w:p>
      <w:pPr>
        <w:spacing w:after="80"/>
      </w:pPr>
    </w:p>
    <w:p>
      <w:pPr>
        <w:spacing w:after="160"/>
      </w:pPr>
      <w:r>
        <w:rPr>
          <w:i/>
          <w:iCs/>
          <w:color w:val="6B6B6B"/>
          <w:sz w:val="20"/>
          <w:szCs w:val="20"/>
        </w:rPr>
        <w:t xml:space="preserve">Actualizează acest document ori de câte ori adaugi o funcționalitate nouă care colectează sau prelucrează date cu caracter personal (ex. un nou furnizor extern, un nou tip de date colectate).</w:t>
      </w:r>
    </w:p>
    <w:p>
      <w:r>
        <w:br w:type="page"/>
      </w:r>
    </w:p>
    <w:p>
      <w:pPr>
        <w:pStyle w:val="Heading1"/>
        <w:spacing w:after="160" w:before="360"/>
      </w:pPr>
      <w:r>
        <w:t xml:space="preserve">Cuprins</w:t>
      </w:r>
    </w:p>
    <w:p>
      <w:pPr>
        <w:pStyle w:val="ListParagraph"/>
        <w:numPr>
          <w:ilvl w:val="0"/>
          <w:numId w:val="1"/>
        </w:numPr>
        <w:spacing w:after="80"/>
      </w:pPr>
      <w:r>
        <w:t xml:space="preserve">1. Cuprins</w:t>
      </w:r>
    </w:p>
    <w:p>
      <w:pPr>
        <w:pStyle w:val="ListParagraph"/>
        <w:numPr>
          <w:ilvl w:val="0"/>
          <w:numId w:val="1"/>
        </w:numPr>
        <w:spacing w:after="80"/>
      </w:pPr>
      <w:r>
        <w:t>2. Principii GDPR by design în Herbatium</w:t>
      </w:r>
    </w:p>
    <w:p>
      <w:pPr>
        <w:pStyle w:val="ListParagraph"/>
        <w:numPr>
          <w:ilvl w:val="0"/>
          <w:numId w:val="1"/>
        </w:numPr>
        <w:spacing w:after="80"/>
      </w:pPr>
      <w:r>
        <w:t>3. Rolul Herbatium: operator vs. persoană împuternicită</w:t>
      </w:r>
    </w:p>
    <w:p>
      <w:pPr>
        <w:pStyle w:val="ListParagraph"/>
        <w:numPr>
          <w:ilvl w:val="0"/>
          <w:numId w:val="1"/>
        </w:numPr>
        <w:spacing w:after="80"/>
      </w:pPr>
      <w:r>
        <w:t xml:space="preserve">4. Registrul activităților de prelucrare (art. 30 GDPR)</w:t>
      </w:r>
    </w:p>
    <w:p>
      <w:pPr>
        <w:pStyle w:val="ListParagraph"/>
        <w:numPr>
          <w:ilvl w:val="0"/>
          <w:numId w:val="1"/>
        </w:numPr>
        <w:spacing w:after="80"/>
      </w:pPr>
      <w:r>
        <w:t xml:space="preserve">5. Screening DPIA (evaluarea impactului asupra protecției datelor)</w:t>
      </w:r>
    </w:p>
    <w:p>
      <w:pPr>
        <w:pStyle w:val="ListParagraph"/>
        <w:numPr>
          <w:ilvl w:val="0"/>
          <w:numId w:val="1"/>
        </w:numPr>
        <w:spacing w:after="80"/>
      </w:pPr>
      <w:r>
        <w:t xml:space="preserve">6. Furnizori și subîmputerniciți</w:t>
      </w:r>
    </w:p>
    <w:p>
      <w:pPr>
        <w:pStyle w:val="ListParagraph"/>
        <w:numPr>
          <w:ilvl w:val="0"/>
          <w:numId w:val="1"/>
        </w:numPr>
        <w:spacing w:after="80"/>
      </w:pPr>
      <w:r>
        <w:t xml:space="preserve">7. Procedura de răspuns la cererile persoanelor vizate</w:t>
      </w:r>
    </w:p>
    <w:p>
      <w:pPr>
        <w:pStyle w:val="ListParagraph"/>
        <w:numPr>
          <w:ilvl w:val="0"/>
          <w:numId w:val="1"/>
        </w:numPr>
        <w:spacing w:after="80"/>
      </w:pPr>
      <w:r>
        <w:t xml:space="preserve">8. Procedura de gestionare a unei breșe de securitate</w:t>
      </w:r>
    </w:p>
    <w:p>
      <w:pPr>
        <w:pStyle w:val="ListParagraph"/>
        <w:numPr>
          <w:ilvl w:val="0"/>
          <w:numId w:val="1"/>
        </w:numPr>
        <w:spacing w:after="80"/>
      </w:pPr>
      <w:r>
        <w:t xml:space="preserve">9. Perioade de retenție a datelor</w:t>
      </w:r>
    </w:p>
    <w:p>
      <w:pPr>
        <w:pStyle w:val="ListParagraph"/>
        <w:numPr>
          <w:ilvl w:val="0"/>
          <w:numId w:val="1"/>
        </w:numPr>
        <w:spacing w:after="80"/>
      </w:pPr>
      <w:r>
        <w:t xml:space="preserve">10. Alte obligații legale relevante la lansare</w:t>
      </w:r>
    </w:p>
    <w:p>
      <w:pPr>
        <w:pStyle w:val="ListParagraph"/>
        <w:numPr>
          <w:ilvl w:val="0"/>
          <w:numId w:val="1"/>
        </w:numPr>
        <w:spacing w:after="80"/>
      </w:pPr>
      <w:r>
        <w:t xml:space="preserve">11. Checklist pre-lansare</w:t>
      </w:r>
    </w:p>
    <w:p>
      <w:pPr>
        <w:pStyle w:val="ListParagraph"/>
        <w:numPr>
          <w:ilvl w:val="0"/>
          <w:numId w:val="1"/>
        </w:numPr>
        <w:spacing w:after="80"/>
      </w:pPr>
      <w:r>
        <w:t xml:space="preserve">12. Anexe — documente legale publice</w:t>
      </w:r>
    </w:p>
    <w:p>
      <w:r>
        <w:br w:type="page"/>
      </w:r>
    </w:p>
    <w:p>
      <w:pPr>
        <w:pStyle w:val="Heading1"/>
        <w:spacing w:after="160" w:before="360"/>
      </w:pPr>
      <w:r>
        <w:t>2. Principii GDPR by design în Herbatium</w:t>
      </w:r>
    </w:p>
    <w:p>
      <w:pPr>
        <w:spacing w:after="140"/>
      </w:pPr>
      <w:r>
        <w:t>Regulamentul (UE) 2016/679 (GDPR) cere ca protecția datelor să fie integrată în proiectarea aplicației, nu adăugată ulterior. Tabelul de mai jos arată cum sunt aplicate principiile art. 5 GDPR în Herbatium.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2F6F4E" w:val="clear"/>
            <w:tcMar>
              <w:top w:type="dxa" w:w="80"/>
              <w:left w:type="dxa" w:w="100"/>
              <w:bottom w:type="dxa" w:w="80"/>
              <w:right w:type="dxa" w:w="100"/>
            </w:tcMar>
          </w:tcPr>
          <w:p>
            <w:r>
              <w:rPr>
                <w:b/>
                <w:bCs/>
                <w:color w:val="FFFFFF"/>
                <w:sz w:val="19"/>
                <w:szCs w:val="19"/>
              </w:rPr>
              <w:t xml:space="preserve">Principiu (art. 5 GDPR)</w:t>
            </w:r>
          </w:p>
        </w:tc>
        <w:tc>
          <w:tcPr>
            <w:tcW w:type="dxa" w:w="6600"/>
            <w:shd w:fill="2F6F4E" w:val="clear"/>
            <w:tcMar>
              <w:top w:type="dxa" w:w="80"/>
              <w:left w:type="dxa" w:w="100"/>
              <w:bottom w:type="dxa" w:w="80"/>
              <w:right w:type="dxa" w:w="100"/>
            </w:tcMar>
          </w:tcPr>
          <w:p>
            <w:r>
              <w:rPr>
                <w:b/>
                <w:bCs/>
                <w:color w:val="FFFFFF"/>
                <w:sz w:val="19"/>
                <w:szCs w:val="19"/>
              </w:rPr>
              <w:t>Cum e aplicat în Herbatium</w:t>
            </w:r>
          </w:p>
        </w:tc>
      </w:tr>
      <w:tr>
        <w:tc>
          <w:tcPr>
            <w:tcW w:type="dxa" w:w="3000"/>
            <w:tcMar>
              <w:top w:type="dxa" w:w="80"/>
              <w:left w:type="dxa" w:w="100"/>
              <w:bottom w:type="dxa" w:w="80"/>
              <w:right w:type="dxa" w:w="100"/>
            </w:tcMar>
          </w:tcPr>
          <w:p>
            <w:r>
              <w:rPr>
                <w:b w:val="false"/>
                <w:bCs w:val="false"/>
                <w:sz w:val="19"/>
                <w:szCs w:val="19"/>
              </w:rPr>
              <w:t xml:space="preserve">Legalitate, echitate, transparență</w:t>
            </w:r>
          </w:p>
        </w:tc>
        <w:tc>
          <w:tcPr>
            <w:tcW w:type="dxa" w:w="6600"/>
            <w:tcMar>
              <w:top w:type="dxa" w:w="80"/>
              <w:left w:type="dxa" w:w="100"/>
              <w:bottom w:type="dxa" w:w="80"/>
              <w:right w:type="dxa" w:w="100"/>
            </w:tcMar>
          </w:tcPr>
          <w:p>
            <w:r>
              <w:rPr>
                <w:b w:val="false"/>
                <w:bCs w:val="false"/>
                <w:sz w:val="19"/>
                <w:szCs w:val="19"/>
              </w:rPr>
              <w:t xml:space="preserve">Consimțământul la Termeni e obligatoriu și explicit la înregistrare (bifă separată, nu presetată); paginile /legal/* explică simplu, în română, ce date se colectează și de ce.</w:t>
            </w:r>
          </w:p>
        </w:tc>
      </w:tr>
      <w:tr>
        <w:tc>
          <w:tcPr>
            <w:tcW w:type="dxa" w:w="3000"/>
            <w:tcMar>
              <w:top w:type="dxa" w:w="80"/>
              <w:left w:type="dxa" w:w="100"/>
              <w:bottom w:type="dxa" w:w="80"/>
              <w:right w:type="dxa" w:w="100"/>
            </w:tcMar>
          </w:tcPr>
          <w:p>
            <w:r>
              <w:rPr>
                <w:b w:val="false"/>
                <w:bCs w:val="false"/>
                <w:sz w:val="19"/>
                <w:szCs w:val="19"/>
              </w:rPr>
              <w:t xml:space="preserve">Limitarea scopului</w:t>
            </w:r>
          </w:p>
        </w:tc>
        <w:tc>
          <w:tcPr>
            <w:tcW w:type="dxa" w:w="6600"/>
            <w:tcMar>
              <w:top w:type="dxa" w:w="80"/>
              <w:left w:type="dxa" w:w="100"/>
              <w:bottom w:type="dxa" w:w="80"/>
              <w:right w:type="dxa" w:w="100"/>
            </w:tcMar>
          </w:tcPr>
          <w:p>
            <w:r>
              <w:rPr>
                <w:b w:val="false"/>
                <w:bCs w:val="false"/>
                <w:sz w:val="19"/>
                <w:szCs w:val="19"/>
              </w:rPr>
              <w:t xml:space="preserve">Datele introduse de utilizator (rețete, stoc, loturi) sunt folosite exclusiv pentru a furniza funcționalitatea aplicației — nu sunt vândute, nu sunt folosite pentru profilare sau publicitate direcționată.</w:t>
            </w:r>
          </w:p>
        </w:tc>
      </w:tr>
      <w:tr>
        <w:tc>
          <w:tcPr>
            <w:tcW w:type="dxa" w:w="3000"/>
            <w:tcMar>
              <w:top w:type="dxa" w:w="80"/>
              <w:left w:type="dxa" w:w="100"/>
              <w:bottom w:type="dxa" w:w="80"/>
              <w:right w:type="dxa" w:w="100"/>
            </w:tcMar>
          </w:tcPr>
          <w:p>
            <w:r>
              <w:rPr>
                <w:b w:val="false"/>
                <w:bCs w:val="false"/>
                <w:sz w:val="19"/>
                <w:szCs w:val="19"/>
              </w:rPr>
              <w:t xml:space="preserve">Minimizarea datelor</w:t>
            </w:r>
          </w:p>
        </w:tc>
        <w:tc>
          <w:tcPr>
            <w:tcW w:type="dxa" w:w="6600"/>
            <w:tcMar>
              <w:top w:type="dxa" w:w="80"/>
              <w:left w:type="dxa" w:w="100"/>
              <w:bottom w:type="dxa" w:w="80"/>
              <w:right w:type="dxa" w:w="100"/>
            </w:tcMar>
          </w:tcPr>
          <w:p>
            <w:r>
              <w:rPr>
                <w:b w:val="false"/>
                <w:bCs w:val="false"/>
                <w:sz w:val="19"/>
                <w:szCs w:val="19"/>
              </w:rPr>
              <w:t>La înregistrare se cer doar email și parolă. Datele de facturare merg direct la Stripe, nu sunt stocate pe serverul Herbatium. Nu se cere niciun alt câmp de identitate.</w:t>
            </w:r>
          </w:p>
        </w:tc>
      </w:tr>
      <w:tr>
        <w:tc>
          <w:tcPr>
            <w:tcW w:type="dxa" w:w="3000"/>
            <w:tcMar>
              <w:top w:type="dxa" w:w="80"/>
              <w:left w:type="dxa" w:w="100"/>
              <w:bottom w:type="dxa" w:w="80"/>
              <w:right w:type="dxa" w:w="100"/>
            </w:tcMar>
          </w:tcPr>
          <w:p>
            <w:r>
              <w:rPr>
                <w:b w:val="false"/>
                <w:bCs w:val="false"/>
                <w:sz w:val="19"/>
                <w:szCs w:val="19"/>
              </w:rPr>
              <w:t xml:space="preserve">Exactitate</w:t>
            </w:r>
          </w:p>
        </w:tc>
        <w:tc>
          <w:tcPr>
            <w:tcW w:type="dxa" w:w="6600"/>
            <w:tcMar>
              <w:top w:type="dxa" w:w="80"/>
              <w:left w:type="dxa" w:w="100"/>
              <w:bottom w:type="dxa" w:w="80"/>
              <w:right w:type="dxa" w:w="100"/>
            </w:tcMar>
          </w:tcPr>
          <w:p>
            <w:r>
              <w:rPr>
                <w:b w:val="false"/>
                <w:bCs w:val="false"/>
                <w:sz w:val="19"/>
                <w:szCs w:val="19"/>
              </w:rPr>
              <w:t xml:space="preserve">Utilizatorul își poate corecta oricând datele de cont și de aplicație direct din interfață.</w:t>
            </w:r>
          </w:p>
        </w:tc>
      </w:tr>
      <w:tr>
        <w:tc>
          <w:tcPr>
            <w:tcW w:type="dxa" w:w="3000"/>
            <w:tcMar>
              <w:top w:type="dxa" w:w="80"/>
              <w:left w:type="dxa" w:w="100"/>
              <w:bottom w:type="dxa" w:w="80"/>
              <w:right w:type="dxa" w:w="100"/>
            </w:tcMar>
          </w:tcPr>
          <w:p>
            <w:r>
              <w:rPr>
                <w:b w:val="false"/>
                <w:bCs w:val="false"/>
                <w:sz w:val="19"/>
                <w:szCs w:val="19"/>
              </w:rPr>
              <w:t xml:space="preserve">Limitarea stocării</w:t>
            </w:r>
          </w:p>
        </w:tc>
        <w:tc>
          <w:tcPr>
            <w:tcW w:type="dxa" w:w="6600"/>
            <w:tcMar>
              <w:top w:type="dxa" w:w="80"/>
              <w:left w:type="dxa" w:w="100"/>
              <w:bottom w:type="dxa" w:w="80"/>
              <w:right w:type="dxa" w:w="100"/>
            </w:tcMar>
          </w:tcPr>
          <w:p>
            <w:r>
              <w:rPr>
                <w:b w:val="false"/>
                <w:bCs w:val="false"/>
                <w:sz w:val="19"/>
                <w:szCs w:val="19"/>
              </w:rPr>
              <w:t xml:space="preserve">Contul și datele lui sunt păstrate cât timp contul e activ; la ștergerea contului (art. 17), datele de aplicație se șterg imediat (vezi secțiunea 9).</w:t>
            </w:r>
          </w:p>
        </w:tc>
      </w:tr>
      <w:tr>
        <w:tc>
          <w:tcPr>
            <w:tcW w:type="dxa" w:w="3000"/>
            <w:tcMar>
              <w:top w:type="dxa" w:w="80"/>
              <w:left w:type="dxa" w:w="100"/>
              <w:bottom w:type="dxa" w:w="80"/>
              <w:right w:type="dxa" w:w="100"/>
            </w:tcMar>
          </w:tcPr>
          <w:p>
            <w:r>
              <w:rPr>
                <w:b w:val="false"/>
                <w:bCs w:val="false"/>
                <w:sz w:val="19"/>
                <w:szCs w:val="19"/>
              </w:rPr>
              <w:t xml:space="preserve">Integritate și confidențialitate (securitate)</w:t>
            </w:r>
          </w:p>
        </w:tc>
        <w:tc>
          <w:tcPr>
            <w:tcW w:type="dxa" w:w="6600"/>
            <w:tcMar>
              <w:top w:type="dxa" w:w="80"/>
              <w:left w:type="dxa" w:w="100"/>
              <w:bottom w:type="dxa" w:w="80"/>
              <w:right w:type="dxa" w:w="100"/>
            </w:tcMar>
          </w:tcPr>
          <w:p>
            <w:r>
              <w:rPr>
                <w:b w:val="false"/>
                <w:bCs w:val="false"/>
                <w:sz w:val="19"/>
                <w:szCs w:val="19"/>
              </w:rPr>
              <w:t xml:space="preserve">Parole hash-uite (bcrypt), conexiune HTTPS, cookie de autentificare httpOnly, acces la datele altui utilizator imposibil prin design (fiecare interogare e filtrată după contul autentificat).</w:t>
            </w:r>
          </w:p>
        </w:tc>
      </w:tr>
      <w:tr>
        <w:tc>
          <w:tcPr>
            <w:tcW w:type="dxa" w:w="3000"/>
            <w:tcMar>
              <w:top w:type="dxa" w:w="80"/>
              <w:left w:type="dxa" w:w="100"/>
              <w:bottom w:type="dxa" w:w="80"/>
              <w:right w:type="dxa" w:w="100"/>
            </w:tcMar>
          </w:tcPr>
          <w:p>
            <w:r>
              <w:rPr>
                <w:b w:val="false"/>
                <w:bCs w:val="false"/>
                <w:sz w:val="19"/>
                <w:szCs w:val="19"/>
              </w:rPr>
              <w:t xml:space="preserve">Responsabilitate (accountability)</w:t>
            </w:r>
          </w:p>
        </w:tc>
        <w:tc>
          <w:tcPr>
            <w:tcW w:type="dxa" w:w="6600"/>
            <w:tcMar>
              <w:top w:type="dxa" w:w="80"/>
              <w:left w:type="dxa" w:w="100"/>
              <w:bottom w:type="dxa" w:w="80"/>
              <w:right w:type="dxa" w:w="100"/>
            </w:tcMar>
          </w:tcPr>
          <w:p>
            <w:r>
              <w:rPr>
                <w:b w:val="false"/>
                <w:bCs w:val="false"/>
                <w:sz w:val="19"/>
                <w:szCs w:val="19"/>
              </w:rPr>
              <w:t xml:space="preserve">Acest document + paginile legale publice + jurnalul de versiuni al Termenilor (LEGAL_VERSION) documentează conformitatea și pot fi arătate la o eventuală verificare.</w:t>
            </w:r>
          </w:p>
        </w:tc>
      </w:tr>
    </w:tbl>
    <w:p>
      <w:r>
        <w:br w:type="page"/>
      </w:r>
    </w:p>
    <w:p>
      <w:pPr>
        <w:pStyle w:val="Heading1"/>
        <w:spacing w:after="160" w:before="360"/>
      </w:pPr>
      <w:r>
        <w:t>3. Rolul Herbatium: operator vs. persoană împuternicită</w:t>
      </w:r>
    </w:p>
    <w:p>
      <w:pPr>
        <w:spacing w:after="140"/>
      </w:pPr>
      <w:r>
        <w:t>GDPR distinge două roluri, iar Herbatium le are pe amândouă, pentru categorii diferite de date:</w:t>
      </w:r>
    </w:p>
    <w:p>
      <w:pPr>
        <w:spacing w:after="120"/>
      </w:pPr>
      <w:r>
        <w:rPr>
          <w:b/>
          <w:bCs/>
        </w:rPr>
        <w:t>Operator de date — pentru datele de cont ale utilizatorului însuși (email, parolă, consimțăminte, date de abonament/facturare, IP-uri tehnice): Herbatium decide scopul și mijloacele prelucrării, deci e operator direct pentru aceste date.</w:t>
      </w:r>
      <w:r/>
    </w:p>
    <w:p>
      <w:pPr>
        <w:spacing w:after="120"/>
      </w:pPr>
      <w:r>
        <w:rPr>
          <w:b/>
          <w:bCs/>
        </w:rPr>
        <w:t>Persoană împuternicită (procesator) — pentru conținutul pe care utilizatorul (producătorul) îl introduce în aplicație și care ar putea conține date personale ale unor terți (de exemplu, dacă un utilizator notează în „Produse” sau „Stoc” numele unui furnizor persoană fizică, sau adaugă un membru de echipă): aici producătorul e operator, iar Herbatium prelucrează aceste date doar la comanda lui, conform Acordului de prelucrare a datelor (DPA) — vezi /legal/dpa.</w:t>
      </w:r>
      <w:r/>
    </w:p>
    <w:p>
      <w:pPr>
        <w:spacing w:after="160"/>
      </w:pPr>
      <w:r>
        <w:rPr>
          <w:i/>
          <w:iCs/>
          <w:color w:val="6B6B6B"/>
          <w:sz w:val="20"/>
          <w:szCs w:val="20"/>
        </w:rPr>
        <w:t>Herbatium nu procesează în mod curent date ale unor terți la scară largă — cazul tipic e un utilizator individual (PFA/SRL mic) care gestionează propriile rețete și produse, fără o bază de clienți proprii introdusă în aplicație. DPA se aplică totuși ca măsură de precauție, pentru situația în care un utilizator ar introduce astfel de date.</w:t>
      </w:r>
    </w:p>
    <w:p>
      <w:r>
        <w:br w:type="page"/>
      </w:r>
    </w:p>
    <w:p>
      <w:pPr>
        <w:pStyle w:val="Heading1"/>
        <w:spacing w:after="160" w:before="360"/>
      </w:pPr>
      <w:r>
        <w:t xml:space="preserve">4. Registrul activităților de prelucrare (art. 30 GDPR)</w:t>
      </w:r>
    </w:p>
    <w:p>
      <w:pPr>
        <w:spacing w:after="140"/>
      </w:pPr>
      <w:r>
        <w:t>Registrul de mai jos identifică fiecare categorie de date personale prelucrată de Herbatium, scopul, temeiul legal, destinatarii și durata de păstrare.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500"/>
        <w:gridCol w:w="1500"/>
        <w:gridCol w:w="1800"/>
      </w:tblGrid>
      <w:tr>
        <w:trPr>
          <w:tblHeader/>
        </w:trPr>
        <w:tc>
          <w:tcPr>
            <w:tcW w:type="dxa" w:w="1500"/>
            <w:shd w:fill="2F6F4E" w:val="clear"/>
            <w:tcMar>
              <w:top w:type="dxa" w:w="80"/>
              <w:left w:type="dxa" w:w="100"/>
              <w:bottom w:type="dxa" w:w="80"/>
              <w:right w:type="dxa" w:w="100"/>
            </w:tcMar>
          </w:tcPr>
          <w:p>
            <w:r>
              <w:rPr>
                <w:b/>
                <w:bCs/>
                <w:color w:val="FFFFFF"/>
                <w:sz w:val="19"/>
                <w:szCs w:val="19"/>
              </w:rPr>
              <w:t xml:space="preserve">Activitate</w:t>
            </w:r>
          </w:p>
        </w:tc>
        <w:tc>
          <w:tcPr>
            <w:tcW w:type="dxa" w:w="1900"/>
            <w:shd w:fill="2F6F4E" w:val="clear"/>
            <w:tcMar>
              <w:top w:type="dxa" w:w="80"/>
              <w:left w:type="dxa" w:w="100"/>
              <w:bottom w:type="dxa" w:w="80"/>
              <w:right w:type="dxa" w:w="100"/>
            </w:tcMar>
          </w:tcPr>
          <w:p>
            <w:r>
              <w:rPr>
                <w:b/>
                <w:bCs/>
                <w:color w:val="FFFFFF"/>
                <w:sz w:val="19"/>
                <w:szCs w:val="19"/>
              </w:rPr>
              <w:t xml:space="preserve">Categorii de date</w:t>
            </w:r>
          </w:p>
        </w:tc>
        <w:tc>
          <w:tcPr>
            <w:tcW w:type="dxa" w:w="1500"/>
            <w:shd w:fill="2F6F4E" w:val="clear"/>
            <w:tcMar>
              <w:top w:type="dxa" w:w="80"/>
              <w:left w:type="dxa" w:w="100"/>
              <w:bottom w:type="dxa" w:w="80"/>
              <w:right w:type="dxa" w:w="100"/>
            </w:tcMar>
          </w:tcPr>
          <w:p>
            <w:r>
              <w:rPr>
                <w:b/>
                <w:bCs/>
                <w:color w:val="FFFFFF"/>
                <w:sz w:val="19"/>
                <w:szCs w:val="19"/>
              </w:rPr>
              <w:t xml:space="preserve">Scop</w:t>
            </w:r>
          </w:p>
        </w:tc>
        <w:tc>
          <w:tcPr>
            <w:tcW w:type="dxa" w:w="1500"/>
            <w:shd w:fill="2F6F4E" w:val="clear"/>
            <w:tcMar>
              <w:top w:type="dxa" w:w="80"/>
              <w:left w:type="dxa" w:w="100"/>
              <w:bottom w:type="dxa" w:w="80"/>
              <w:right w:type="dxa" w:w="100"/>
            </w:tcMar>
          </w:tcPr>
          <w:p>
            <w:r>
              <w:rPr>
                <w:b/>
                <w:bCs/>
                <w:color w:val="FFFFFF"/>
                <w:sz w:val="19"/>
                <w:szCs w:val="19"/>
              </w:rPr>
              <w:t xml:space="preserve">Temei legal</w:t>
            </w:r>
          </w:p>
        </w:tc>
        <w:tc>
          <w:tcPr>
            <w:tcW w:type="dxa" w:w="1500"/>
            <w:shd w:fill="2F6F4E" w:val="clear"/>
            <w:tcMar>
              <w:top w:type="dxa" w:w="80"/>
              <w:left w:type="dxa" w:w="100"/>
              <w:bottom w:type="dxa" w:w="80"/>
              <w:right w:type="dxa" w:w="100"/>
            </w:tcMar>
          </w:tcPr>
          <w:p>
            <w:r>
              <w:rPr>
                <w:b/>
                <w:bCs/>
                <w:color w:val="FFFFFF"/>
                <w:sz w:val="19"/>
                <w:szCs w:val="19"/>
              </w:rPr>
              <w:t xml:space="preserve">Destinatari</w:t>
            </w:r>
          </w:p>
        </w:tc>
        <w:tc>
          <w:tcPr>
            <w:tcW w:type="dxa" w:w="1800"/>
            <w:shd w:fill="2F6F4E" w:val="clear"/>
            <w:tcMar>
              <w:top w:type="dxa" w:w="80"/>
              <w:left w:type="dxa" w:w="100"/>
              <w:bottom w:type="dxa" w:w="80"/>
              <w:right w:type="dxa" w:w="100"/>
            </w:tcMar>
          </w:tcPr>
          <w:p>
            <w:r>
              <w:rPr>
                <w:b/>
                <w:bCs/>
                <w:color w:val="FFFFFF"/>
                <w:sz w:val="19"/>
                <w:szCs w:val="19"/>
              </w:rPr>
              <w:t xml:space="preserve">Durată păstrare</w:t>
            </w:r>
          </w:p>
        </w:tc>
      </w:tr>
      <w:tr>
        <w:tc>
          <w:tcPr>
            <w:tcW w:type="dxa" w:w="1500"/>
            <w:tcMar>
              <w:top w:type="dxa" w:w="80"/>
              <w:left w:type="dxa" w:w="100"/>
              <w:bottom w:type="dxa" w:w="80"/>
              <w:right w:type="dxa" w:w="100"/>
            </w:tcMar>
          </w:tcPr>
          <w:p>
            <w:r>
              <w:rPr>
                <w:b w:val="false"/>
                <w:bCs w:val="false"/>
                <w:sz w:val="19"/>
                <w:szCs w:val="19"/>
              </w:rPr>
              <w:t xml:space="preserve">Cont utilizator (înregistrare, autentificare)</w:t>
            </w:r>
          </w:p>
        </w:tc>
        <w:tc>
          <w:tcPr>
            <w:tcW w:type="dxa" w:w="1900"/>
            <w:tcMar>
              <w:top w:type="dxa" w:w="80"/>
              <w:left w:type="dxa" w:w="100"/>
              <w:bottom w:type="dxa" w:w="80"/>
              <w:right w:type="dxa" w:w="100"/>
            </w:tcMar>
          </w:tcPr>
          <w:p>
            <w:r>
              <w:rPr>
                <w:b w:val="false"/>
                <w:bCs w:val="false"/>
                <w:sz w:val="19"/>
                <w:szCs w:val="19"/>
              </w:rPr>
              <w:t xml:space="preserve">Email, parolă (hash), data creării contului, consimțăminte (Termeni, marketing)</w:t>
            </w:r>
          </w:p>
        </w:tc>
        <w:tc>
          <w:tcPr>
            <w:tcW w:type="dxa" w:w="1500"/>
            <w:tcMar>
              <w:top w:type="dxa" w:w="80"/>
              <w:left w:type="dxa" w:w="100"/>
              <w:bottom w:type="dxa" w:w="80"/>
              <w:right w:type="dxa" w:w="100"/>
            </w:tcMar>
          </w:tcPr>
          <w:p>
            <w:r>
              <w:rPr>
                <w:b w:val="false"/>
                <w:bCs w:val="false"/>
                <w:sz w:val="19"/>
                <w:szCs w:val="19"/>
              </w:rPr>
              <w:t xml:space="preserve">Crearea și administrarea contului</w:t>
            </w:r>
          </w:p>
        </w:tc>
        <w:tc>
          <w:tcPr>
            <w:tcW w:type="dxa" w:w="1500"/>
            <w:tcMar>
              <w:top w:type="dxa" w:w="80"/>
              <w:left w:type="dxa" w:w="100"/>
              <w:bottom w:type="dxa" w:w="80"/>
              <w:right w:type="dxa" w:w="100"/>
            </w:tcMar>
          </w:tcPr>
          <w:p>
            <w:r>
              <w:rPr>
                <w:b w:val="false"/>
                <w:bCs w:val="false"/>
                <w:sz w:val="19"/>
                <w:szCs w:val="19"/>
              </w:rPr>
              <w:t xml:space="preserve">Executarea contractului (art. 6(1)(b))</w:t>
            </w:r>
          </w:p>
        </w:tc>
        <w:tc>
          <w:tcPr>
            <w:tcW w:type="dxa" w:w="1500"/>
            <w:tcMar>
              <w:top w:type="dxa" w:w="80"/>
              <w:left w:type="dxa" w:w="100"/>
              <w:bottom w:type="dxa" w:w="80"/>
              <w:right w:type="dxa" w:w="100"/>
            </w:tcMar>
          </w:tcPr>
          <w:p>
            <w:r>
              <w:rPr>
                <w:b w:val="false"/>
                <w:bCs w:val="false"/>
                <w:sz w:val="19"/>
                <w:szCs w:val="19"/>
              </w:rPr>
              <w:t xml:space="preserve">Găzduire server [completează furnizorul]</w:t>
            </w:r>
          </w:p>
        </w:tc>
        <w:tc>
          <w:tcPr>
            <w:tcW w:type="dxa" w:w="1800"/>
            <w:tcMar>
              <w:top w:type="dxa" w:w="80"/>
              <w:left w:type="dxa" w:w="100"/>
              <w:bottom w:type="dxa" w:w="80"/>
              <w:right w:type="dxa" w:w="100"/>
            </w:tcMar>
          </w:tcPr>
          <w:p>
            <w:r>
              <w:rPr>
                <w:b w:val="false"/>
                <w:bCs w:val="false"/>
                <w:sz w:val="19"/>
                <w:szCs w:val="19"/>
              </w:rPr>
              <w:t xml:space="preserve">Cât timp contul e activ + termenul legal de arhivare ulterior, dacă există</w:t>
            </w:r>
          </w:p>
        </w:tc>
      </w:tr>
      <w:tr>
        <w:tc>
          <w:tcPr>
            <w:tcW w:type="dxa" w:w="1500"/>
            <w:tcMar>
              <w:top w:type="dxa" w:w="80"/>
              <w:left w:type="dxa" w:w="100"/>
              <w:bottom w:type="dxa" w:w="80"/>
              <w:right w:type="dxa" w:w="100"/>
            </w:tcMar>
          </w:tcPr>
          <w:p>
            <w:r>
              <w:rPr>
                <w:b w:val="false"/>
                <w:bCs w:val="false"/>
                <w:sz w:val="19"/>
                <w:szCs w:val="19"/>
              </w:rPr>
              <w:t xml:space="preserve">Date de aplicație (rețete, loturi, produse, stoc, vânzări, calcule cost)</w:t>
            </w:r>
          </w:p>
        </w:tc>
        <w:tc>
          <w:tcPr>
            <w:tcW w:type="dxa" w:w="1900"/>
            <w:tcMar>
              <w:top w:type="dxa" w:w="80"/>
              <w:left w:type="dxa" w:w="100"/>
              <w:bottom w:type="dxa" w:w="80"/>
              <w:right w:type="dxa" w:w="100"/>
            </w:tcMar>
          </w:tcPr>
          <w:p>
            <w:r>
              <w:rPr>
                <w:b w:val="false"/>
                <w:bCs w:val="false"/>
                <w:sz w:val="19"/>
                <w:szCs w:val="19"/>
              </w:rPr>
              <w:t xml:space="preserve">Conținut introdus de utilizator — de regulă date despre afacere, nu date personale, cu excepția cazului în care utilizatorul adaugă el însuși nume de persoane</w:t>
            </w:r>
          </w:p>
        </w:tc>
        <w:tc>
          <w:tcPr>
            <w:tcW w:type="dxa" w:w="1500"/>
            <w:tcMar>
              <w:top w:type="dxa" w:w="80"/>
              <w:left w:type="dxa" w:w="100"/>
              <w:bottom w:type="dxa" w:w="80"/>
              <w:right w:type="dxa" w:w="100"/>
            </w:tcMar>
          </w:tcPr>
          <w:p>
            <w:r>
              <w:rPr>
                <w:b w:val="false"/>
                <w:bCs w:val="false"/>
                <w:sz w:val="19"/>
                <w:szCs w:val="19"/>
              </w:rPr>
              <w:t xml:space="preserve">Furnizarea funcționalității de bază a aplicației</w:t>
            </w:r>
          </w:p>
        </w:tc>
        <w:tc>
          <w:tcPr>
            <w:tcW w:type="dxa" w:w="1500"/>
            <w:tcMar>
              <w:top w:type="dxa" w:w="80"/>
              <w:left w:type="dxa" w:w="100"/>
              <w:bottom w:type="dxa" w:w="80"/>
              <w:right w:type="dxa" w:w="100"/>
            </w:tcMar>
          </w:tcPr>
          <w:p>
            <w:r>
              <w:rPr>
                <w:b w:val="false"/>
                <w:bCs w:val="false"/>
                <w:sz w:val="19"/>
                <w:szCs w:val="19"/>
              </w:rPr>
              <w:t xml:space="preserve">Executarea contractului (art. 6(1)(b))</w:t>
            </w:r>
          </w:p>
        </w:tc>
        <w:tc>
          <w:tcPr>
            <w:tcW w:type="dxa" w:w="1500"/>
            <w:tcMar>
              <w:top w:type="dxa" w:w="80"/>
              <w:left w:type="dxa" w:w="100"/>
              <w:bottom w:type="dxa" w:w="80"/>
              <w:right w:type="dxa" w:w="100"/>
            </w:tcMar>
          </w:tcPr>
          <w:p>
            <w:r>
              <w:rPr>
                <w:b w:val="false"/>
                <w:bCs w:val="false"/>
                <w:sz w:val="19"/>
                <w:szCs w:val="19"/>
              </w:rPr>
              <w:t xml:space="preserve">Găzduire server [completează furnizorul]</w:t>
            </w:r>
          </w:p>
        </w:tc>
        <w:tc>
          <w:tcPr>
            <w:tcW w:type="dxa" w:w="1800"/>
            <w:tcMar>
              <w:top w:type="dxa" w:w="80"/>
              <w:left w:type="dxa" w:w="100"/>
              <w:bottom w:type="dxa" w:w="80"/>
              <w:right w:type="dxa" w:w="100"/>
            </w:tcMar>
          </w:tcPr>
          <w:p>
            <w:r>
              <w:rPr>
                <w:b w:val="false"/>
                <w:bCs w:val="false"/>
                <w:sz w:val="19"/>
                <w:szCs w:val="19"/>
              </w:rPr>
              <w:t xml:space="preserve">Cât timp contul e activ; șters odată cu contul (art. 17)</w:t>
            </w:r>
          </w:p>
        </w:tc>
      </w:tr>
      <w:tr>
        <w:tc>
          <w:tcPr>
            <w:tcW w:type="dxa" w:w="1500"/>
            <w:tcMar>
              <w:top w:type="dxa" w:w="80"/>
              <w:left w:type="dxa" w:w="100"/>
              <w:bottom w:type="dxa" w:w="80"/>
              <w:right w:type="dxa" w:w="100"/>
            </w:tcMar>
          </w:tcPr>
          <w:p>
            <w:r>
              <w:rPr>
                <w:b w:val="false"/>
                <w:bCs w:val="false"/>
                <w:sz w:val="19"/>
                <w:szCs w:val="19"/>
              </w:rPr>
              <w:t xml:space="preserve">Poze de produs încărcate de utilizator</w:t>
            </w:r>
          </w:p>
        </w:tc>
        <w:tc>
          <w:tcPr>
            <w:tcW w:type="dxa" w:w="1900"/>
            <w:tcMar>
              <w:top w:type="dxa" w:w="80"/>
              <w:left w:type="dxa" w:w="100"/>
              <w:bottom w:type="dxa" w:w="80"/>
              <w:right w:type="dxa" w:w="100"/>
            </w:tcMar>
          </w:tcPr>
          <w:p>
            <w:r>
              <w:rPr>
                <w:b w:val="false"/>
                <w:bCs w:val="false"/>
                <w:sz w:val="19"/>
                <w:szCs w:val="19"/>
              </w:rPr>
              <w:t xml:space="preserve">Fișiere imagine</w:t>
            </w:r>
          </w:p>
        </w:tc>
        <w:tc>
          <w:tcPr>
            <w:tcW w:type="dxa" w:w="1500"/>
            <w:tcMar>
              <w:top w:type="dxa" w:w="80"/>
              <w:left w:type="dxa" w:w="100"/>
              <w:bottom w:type="dxa" w:w="80"/>
              <w:right w:type="dxa" w:w="100"/>
            </w:tcMar>
          </w:tcPr>
          <w:p>
            <w:r>
              <w:rPr>
                <w:b w:val="false"/>
                <w:bCs w:val="false"/>
                <w:sz w:val="19"/>
                <w:szCs w:val="19"/>
              </w:rPr>
              <w:t xml:space="preserve">Afișare în aplicație și, opțional, pe pagina publică de catalog</w:t>
            </w:r>
          </w:p>
        </w:tc>
        <w:tc>
          <w:tcPr>
            <w:tcW w:type="dxa" w:w="1500"/>
            <w:tcMar>
              <w:top w:type="dxa" w:w="80"/>
              <w:left w:type="dxa" w:w="100"/>
              <w:bottom w:type="dxa" w:w="80"/>
              <w:right w:type="dxa" w:w="100"/>
            </w:tcMar>
          </w:tcPr>
          <w:p>
            <w:r>
              <w:rPr>
                <w:b w:val="false"/>
                <w:bCs w:val="false"/>
                <w:sz w:val="19"/>
                <w:szCs w:val="19"/>
              </w:rPr>
              <w:t xml:space="preserve">Executarea contractului / interes legitim</w:t>
            </w:r>
          </w:p>
        </w:tc>
        <w:tc>
          <w:tcPr>
            <w:tcW w:type="dxa" w:w="1500"/>
            <w:tcMar>
              <w:top w:type="dxa" w:w="80"/>
              <w:left w:type="dxa" w:w="100"/>
              <w:bottom w:type="dxa" w:w="80"/>
              <w:right w:type="dxa" w:w="100"/>
            </w:tcMar>
          </w:tcPr>
          <w:p>
            <w:r>
              <w:rPr>
                <w:b w:val="false"/>
                <w:bCs w:val="false"/>
                <w:sz w:val="19"/>
                <w:szCs w:val="19"/>
              </w:rPr>
              <w:t xml:space="preserve">Găzduire server [completează furnizorul]</w:t>
            </w:r>
          </w:p>
        </w:tc>
        <w:tc>
          <w:tcPr>
            <w:tcW w:type="dxa" w:w="1800"/>
            <w:tcMar>
              <w:top w:type="dxa" w:w="80"/>
              <w:left w:type="dxa" w:w="100"/>
              <w:bottom w:type="dxa" w:w="80"/>
              <w:right w:type="dxa" w:w="100"/>
            </w:tcMar>
          </w:tcPr>
          <w:p>
            <w:r>
              <w:rPr>
                <w:b w:val="false"/>
                <w:bCs w:val="false"/>
                <w:sz w:val="19"/>
                <w:szCs w:val="19"/>
              </w:rPr>
              <w:t xml:space="preserve">Cât timp contul e activ; șters odată cu contul</w:t>
            </w:r>
          </w:p>
        </w:tc>
      </w:tr>
      <w:tr>
        <w:tc>
          <w:tcPr>
            <w:tcW w:type="dxa" w:w="1500"/>
            <w:tcMar>
              <w:top w:type="dxa" w:w="80"/>
              <w:left w:type="dxa" w:w="100"/>
              <w:bottom w:type="dxa" w:w="80"/>
              <w:right w:type="dxa" w:w="100"/>
            </w:tcMar>
          </w:tcPr>
          <w:p>
            <w:r>
              <w:rPr>
                <w:b w:val="false"/>
                <w:bCs w:val="false"/>
                <w:sz w:val="19"/>
                <w:szCs w:val="19"/>
              </w:rPr>
              <w:t xml:space="preserve">Pagina publică de catalog (opțională, activată explicit de utilizator)</w:t>
            </w:r>
          </w:p>
        </w:tc>
        <w:tc>
          <w:tcPr>
            <w:tcW w:type="dxa" w:w="1900"/>
            <w:tcMar>
              <w:top w:type="dxa" w:w="80"/>
              <w:left w:type="dxa" w:w="100"/>
              <w:bottom w:type="dxa" w:w="80"/>
              <w:right w:type="dxa" w:w="100"/>
            </w:tcMar>
          </w:tcPr>
          <w:p>
            <w:r>
              <w:rPr>
                <w:b w:val="false"/>
                <w:bCs w:val="false"/>
                <w:sz w:val="19"/>
                <w:szCs w:val="19"/>
              </w:rPr>
              <w:t xml:space="preserve">Denumire afacere, descriere, linkuri către rețele sociale/magazine (Instagram, Etsy, Breslo, site propriu)</w:t>
            </w:r>
          </w:p>
        </w:tc>
        <w:tc>
          <w:tcPr>
            <w:tcW w:type="dxa" w:w="1500"/>
            <w:tcMar>
              <w:top w:type="dxa" w:w="80"/>
              <w:left w:type="dxa" w:w="100"/>
              <w:bottom w:type="dxa" w:w="80"/>
              <w:right w:type="dxa" w:w="100"/>
            </w:tcMar>
          </w:tcPr>
          <w:p>
            <w:r>
              <w:rPr>
                <w:b w:val="false"/>
                <w:bCs w:val="false"/>
                <w:sz w:val="19"/>
                <w:szCs w:val="19"/>
              </w:rPr>
              <w:t xml:space="preserve">Promovarea publică a afacerii utilizatorului</w:t>
            </w:r>
          </w:p>
        </w:tc>
        <w:tc>
          <w:tcPr>
            <w:tcW w:type="dxa" w:w="1500"/>
            <w:tcMar>
              <w:top w:type="dxa" w:w="80"/>
              <w:left w:type="dxa" w:w="100"/>
              <w:bottom w:type="dxa" w:w="80"/>
              <w:right w:type="dxa" w:w="100"/>
            </w:tcMar>
          </w:tcPr>
          <w:p>
            <w:r>
              <w:rPr>
                <w:b w:val="false"/>
                <w:bCs w:val="false"/>
                <w:sz w:val="19"/>
                <w:szCs w:val="19"/>
              </w:rPr>
              <w:t xml:space="preserve">Consimțământul/inițiativa utilizatorului care activează pagina (art. 6(1)(a) sau (f))</w:t>
            </w:r>
          </w:p>
        </w:tc>
        <w:tc>
          <w:tcPr>
            <w:tcW w:type="dxa" w:w="1500"/>
            <w:tcMar>
              <w:top w:type="dxa" w:w="80"/>
              <w:left w:type="dxa" w:w="100"/>
              <w:bottom w:type="dxa" w:w="80"/>
              <w:right w:type="dxa" w:w="100"/>
            </w:tcMar>
          </w:tcPr>
          <w:p>
            <w:r>
              <w:rPr>
                <w:b w:val="false"/>
                <w:bCs w:val="false"/>
                <w:sz w:val="19"/>
                <w:szCs w:val="19"/>
              </w:rPr>
              <w:t xml:space="preserve">Public pe internet, la adresa publică a paginii</w:t>
            </w:r>
          </w:p>
        </w:tc>
        <w:tc>
          <w:tcPr>
            <w:tcW w:type="dxa" w:w="1800"/>
            <w:tcMar>
              <w:top w:type="dxa" w:w="80"/>
              <w:left w:type="dxa" w:w="100"/>
              <w:bottom w:type="dxa" w:w="80"/>
              <w:right w:type="dxa" w:w="100"/>
            </w:tcMar>
          </w:tcPr>
          <w:p>
            <w:r>
              <w:rPr>
                <w:b w:val="false"/>
                <w:bCs w:val="false"/>
                <w:sz w:val="19"/>
                <w:szCs w:val="19"/>
              </w:rPr>
              <w:t xml:space="preserve">Cât timp pagina e activată; dezactivabilă oricând din aplicație</w:t>
            </w:r>
          </w:p>
        </w:tc>
      </w:tr>
      <w:tr>
        <w:tc>
          <w:tcPr>
            <w:tcW w:type="dxa" w:w="1500"/>
            <w:tcMar>
              <w:top w:type="dxa" w:w="80"/>
              <w:left w:type="dxa" w:w="100"/>
              <w:bottom w:type="dxa" w:w="80"/>
              <w:right w:type="dxa" w:w="100"/>
            </w:tcMar>
          </w:tcPr>
          <w:p>
            <w:r>
              <w:rPr>
                <w:b w:val="false"/>
                <w:bCs w:val="false"/>
                <w:sz w:val="19"/>
                <w:szCs w:val="19"/>
              </w:rPr>
              <w:t xml:space="preserve">Invitații de echipă</w:t>
            </w:r>
          </w:p>
        </w:tc>
        <w:tc>
          <w:tcPr>
            <w:tcW w:type="dxa" w:w="1900"/>
            <w:tcMar>
              <w:top w:type="dxa" w:w="80"/>
              <w:left w:type="dxa" w:w="100"/>
              <w:bottom w:type="dxa" w:w="80"/>
              <w:right w:type="dxa" w:w="100"/>
            </w:tcMar>
          </w:tcPr>
          <w:p>
            <w:r>
              <w:rPr>
                <w:b w:val="false"/>
                <w:bCs w:val="false"/>
                <w:sz w:val="19"/>
                <w:szCs w:val="19"/>
              </w:rPr>
              <w:t xml:space="preserve">Adresa de email a persoanei invitate</w:t>
            </w:r>
          </w:p>
        </w:tc>
        <w:tc>
          <w:tcPr>
            <w:tcW w:type="dxa" w:w="1500"/>
            <w:tcMar>
              <w:top w:type="dxa" w:w="80"/>
              <w:left w:type="dxa" w:w="100"/>
              <w:bottom w:type="dxa" w:w="80"/>
              <w:right w:type="dxa" w:w="100"/>
            </w:tcMar>
          </w:tcPr>
          <w:p>
            <w:r>
              <w:rPr>
                <w:b w:val="false"/>
                <w:bCs w:val="false"/>
                <w:sz w:val="19"/>
                <w:szCs w:val="19"/>
              </w:rPr>
              <w:t xml:space="preserve">Extinderea accesului la cont pentru un coleg/colaborator</w:t>
            </w:r>
          </w:p>
        </w:tc>
        <w:tc>
          <w:tcPr>
            <w:tcW w:type="dxa" w:w="1500"/>
            <w:tcMar>
              <w:top w:type="dxa" w:w="80"/>
              <w:left w:type="dxa" w:w="100"/>
              <w:bottom w:type="dxa" w:w="80"/>
              <w:right w:type="dxa" w:w="100"/>
            </w:tcMar>
          </w:tcPr>
          <w:p>
            <w:r>
              <w:rPr>
                <w:b w:val="false"/>
                <w:bCs w:val="false"/>
                <w:sz w:val="19"/>
                <w:szCs w:val="19"/>
              </w:rPr>
              <w:t xml:space="preserve">Interesul legitim al utilizatorului principal de a colabora în aplicație (art. 6(1)(f))</w:t>
            </w:r>
          </w:p>
        </w:tc>
        <w:tc>
          <w:tcPr>
            <w:tcW w:type="dxa" w:w="1500"/>
            <w:tcMar>
              <w:top w:type="dxa" w:w="80"/>
              <w:left w:type="dxa" w:w="100"/>
              <w:bottom w:type="dxa" w:w="80"/>
              <w:right w:type="dxa" w:w="100"/>
            </w:tcMar>
          </w:tcPr>
          <w:p>
            <w:r>
              <w:rPr>
                <w:b w:val="false"/>
                <w:bCs w:val="false"/>
                <w:sz w:val="19"/>
                <w:szCs w:val="19"/>
              </w:rPr>
              <w:t xml:space="preserve">Nu se trimite automat prin furnizor de email — link generat, transmis manual de utilizator</w:t>
            </w:r>
          </w:p>
        </w:tc>
        <w:tc>
          <w:tcPr>
            <w:tcW w:type="dxa" w:w="1800"/>
            <w:tcMar>
              <w:top w:type="dxa" w:w="80"/>
              <w:left w:type="dxa" w:w="100"/>
              <w:bottom w:type="dxa" w:w="80"/>
              <w:right w:type="dxa" w:w="100"/>
            </w:tcMar>
          </w:tcPr>
          <w:p>
            <w:r>
              <w:rPr>
                <w:b w:val="false"/>
                <w:bCs w:val="false"/>
                <w:sz w:val="19"/>
                <w:szCs w:val="19"/>
              </w:rPr>
              <w:t xml:space="preserve">Token-ul de invitație expiră în 7 zile; contul membrului, cât timp echipa e activă</w:t>
            </w:r>
          </w:p>
        </w:tc>
      </w:tr>
      <w:tr>
        <w:tc>
          <w:tcPr>
            <w:tcW w:type="dxa" w:w="1500"/>
            <w:tcMar>
              <w:top w:type="dxa" w:w="80"/>
              <w:left w:type="dxa" w:w="100"/>
              <w:bottom w:type="dxa" w:w="80"/>
              <w:right w:type="dxa" w:w="100"/>
            </w:tcMar>
          </w:tcPr>
          <w:p>
            <w:r>
              <w:rPr>
                <w:b w:val="false"/>
                <w:bCs w:val="false"/>
                <w:sz w:val="19"/>
                <w:szCs w:val="19"/>
              </w:rPr>
              <w:t xml:space="preserve">Plăți și abonament</w:t>
            </w:r>
          </w:p>
        </w:tc>
        <w:tc>
          <w:tcPr>
            <w:tcW w:type="dxa" w:w="1900"/>
            <w:tcMar>
              <w:top w:type="dxa" w:w="80"/>
              <w:left w:type="dxa" w:w="100"/>
              <w:bottom w:type="dxa" w:w="80"/>
              <w:right w:type="dxa" w:w="100"/>
            </w:tcMar>
          </w:tcPr>
          <w:p>
            <w:r>
              <w:rPr>
                <w:b w:val="false"/>
                <w:bCs w:val="false"/>
                <w:sz w:val="19"/>
                <w:szCs w:val="19"/>
              </w:rPr>
              <w:t>Date de facturare și de card — procesate și stocate de Stripe, nu de serverul Herbatium; Herbatium reține doar statusul abonamentului și un identificator Stripe</w:t>
            </w:r>
          </w:p>
        </w:tc>
        <w:tc>
          <w:tcPr>
            <w:tcW w:type="dxa" w:w="1500"/>
            <w:tcMar>
              <w:top w:type="dxa" w:w="80"/>
              <w:left w:type="dxa" w:w="100"/>
              <w:bottom w:type="dxa" w:w="80"/>
              <w:right w:type="dxa" w:w="100"/>
            </w:tcMar>
          </w:tcPr>
          <w:p>
            <w:r>
              <w:rPr>
                <w:b w:val="false"/>
                <w:bCs w:val="false"/>
                <w:sz w:val="19"/>
                <w:szCs w:val="19"/>
              </w:rPr>
              <w:t xml:space="preserve">Facturarea abonamentului lunar</w:t>
            </w:r>
          </w:p>
        </w:tc>
        <w:tc>
          <w:tcPr>
            <w:tcW w:type="dxa" w:w="1500"/>
            <w:tcMar>
              <w:top w:type="dxa" w:w="80"/>
              <w:left w:type="dxa" w:w="100"/>
              <w:bottom w:type="dxa" w:w="80"/>
              <w:right w:type="dxa" w:w="100"/>
            </w:tcMar>
          </w:tcPr>
          <w:p>
            <w:r>
              <w:rPr>
                <w:b w:val="false"/>
                <w:bCs w:val="false"/>
                <w:sz w:val="19"/>
                <w:szCs w:val="19"/>
              </w:rPr>
              <w:t xml:space="preserve">Executarea contractului (art. 6(1)(b)) + obligație legală de arhivare fiscală (art. 6(1)(c))</w:t>
            </w:r>
          </w:p>
        </w:tc>
        <w:tc>
          <w:tcPr>
            <w:tcW w:type="dxa" w:w="1500"/>
            <w:tcMar>
              <w:top w:type="dxa" w:w="80"/>
              <w:left w:type="dxa" w:w="100"/>
              <w:bottom w:type="dxa" w:w="80"/>
              <w:right w:type="dxa" w:w="100"/>
            </w:tcMar>
          </w:tcPr>
          <w:p>
            <w:r>
              <w:rPr>
                <w:b w:val="false"/>
                <w:bCs w:val="false"/>
                <w:sz w:val="19"/>
                <w:szCs w:val="19"/>
              </w:rPr>
              <w:t xml:space="preserve">Stripe (procesator de plăți)</w:t>
            </w:r>
          </w:p>
        </w:tc>
        <w:tc>
          <w:tcPr>
            <w:tcW w:type="dxa" w:w="1800"/>
            <w:tcMar>
              <w:top w:type="dxa" w:w="80"/>
              <w:left w:type="dxa" w:w="100"/>
              <w:bottom w:type="dxa" w:w="80"/>
              <w:right w:type="dxa" w:w="100"/>
            </w:tcMar>
          </w:tcPr>
          <w:p>
            <w:r>
              <w:rPr>
                <w:b w:val="false"/>
                <w:bCs w:val="false"/>
                <w:sz w:val="19"/>
                <w:szCs w:val="19"/>
              </w:rPr>
              <w:t xml:space="preserve">Conform obligațiilor fiscale aplicabile [completează: ex. 10 ani în România]</w:t>
            </w:r>
          </w:p>
        </w:tc>
      </w:tr>
      <w:tr>
        <w:tc>
          <w:tcPr>
            <w:tcW w:type="dxa" w:w="1500"/>
            <w:tcMar>
              <w:top w:type="dxa" w:w="80"/>
              <w:left w:type="dxa" w:w="100"/>
              <w:bottom w:type="dxa" w:w="80"/>
              <w:right w:type="dxa" w:w="100"/>
            </w:tcMar>
          </w:tcPr>
          <w:p>
            <w:r>
              <w:rPr>
                <w:b w:val="false"/>
                <w:bCs w:val="false"/>
                <w:sz w:val="19"/>
                <w:szCs w:val="19"/>
              </w:rPr>
              <w:t xml:space="preserve">Notificări email opționale (digest zilnic: stoc scăzut, loturi care expiră)</w:t>
            </w:r>
          </w:p>
        </w:tc>
        <w:tc>
          <w:tcPr>
            <w:tcW w:type="dxa" w:w="1900"/>
            <w:tcMar>
              <w:top w:type="dxa" w:w="80"/>
              <w:left w:type="dxa" w:w="100"/>
              <w:bottom w:type="dxa" w:w="80"/>
              <w:right w:type="dxa" w:w="100"/>
            </w:tcMar>
          </w:tcPr>
          <w:p>
            <w:r>
              <w:rPr>
                <w:b w:val="false"/>
                <w:bCs w:val="false"/>
                <w:sz w:val="19"/>
                <w:szCs w:val="19"/>
              </w:rPr>
              <w:t xml:space="preserve">Adresa de email a utilizatorului</w:t>
            </w:r>
          </w:p>
        </w:tc>
        <w:tc>
          <w:tcPr>
            <w:tcW w:type="dxa" w:w="1500"/>
            <w:tcMar>
              <w:top w:type="dxa" w:w="80"/>
              <w:left w:type="dxa" w:w="100"/>
              <w:bottom w:type="dxa" w:w="80"/>
              <w:right w:type="dxa" w:w="100"/>
            </w:tcMar>
          </w:tcPr>
          <w:p>
            <w:r>
              <w:rPr>
                <w:b w:val="false"/>
                <w:bCs w:val="false"/>
                <w:sz w:val="19"/>
                <w:szCs w:val="19"/>
              </w:rPr>
              <w:t xml:space="preserve">Alertare utilă, funcție opțională</w:t>
            </w:r>
          </w:p>
        </w:tc>
        <w:tc>
          <w:tcPr>
            <w:tcW w:type="dxa" w:w="1500"/>
            <w:tcMar>
              <w:top w:type="dxa" w:w="80"/>
              <w:left w:type="dxa" w:w="100"/>
              <w:bottom w:type="dxa" w:w="80"/>
              <w:right w:type="dxa" w:w="100"/>
            </w:tcMar>
          </w:tcPr>
          <w:p>
            <w:r>
              <w:rPr>
                <w:b w:val="false"/>
                <w:bCs w:val="false"/>
                <w:sz w:val="19"/>
                <w:szCs w:val="19"/>
              </w:rPr>
              <w:t xml:space="preserve">Interesul legitim / inițiativa utilizatorului de a folosi funcția (art. 6(1)(f))</w:t>
            </w:r>
          </w:p>
        </w:tc>
        <w:tc>
          <w:tcPr>
            <w:tcW w:type="dxa" w:w="1500"/>
            <w:tcMar>
              <w:top w:type="dxa" w:w="80"/>
              <w:left w:type="dxa" w:w="100"/>
              <w:bottom w:type="dxa" w:w="80"/>
              <w:right w:type="dxa" w:w="100"/>
            </w:tcMar>
          </w:tcPr>
          <w:p>
            <w:r>
              <w:rPr>
                <w:b w:val="false"/>
                <w:bCs w:val="false"/>
                <w:sz w:val="19"/>
                <w:szCs w:val="19"/>
              </w:rPr>
              <w:t xml:space="preserve">Resend (furnizor de email tranzacțional) — activ doar dacă RESEND_API_KEY e configurat</w:t>
            </w:r>
          </w:p>
        </w:tc>
        <w:tc>
          <w:tcPr>
            <w:tcW w:type="dxa" w:w="1800"/>
            <w:tcMar>
              <w:top w:type="dxa" w:w="80"/>
              <w:left w:type="dxa" w:w="100"/>
              <w:bottom w:type="dxa" w:w="80"/>
              <w:right w:type="dxa" w:w="100"/>
            </w:tcMar>
          </w:tcPr>
          <w:p>
            <w:r>
              <w:rPr>
                <w:b w:val="false"/>
                <w:bCs w:val="false"/>
                <w:sz w:val="19"/>
                <w:szCs w:val="19"/>
              </w:rPr>
              <w:t xml:space="preserve">Cât timp funcția e activă</w:t>
            </w:r>
          </w:p>
        </w:tc>
      </w:tr>
      <w:tr>
        <w:tc>
          <w:tcPr>
            <w:tcW w:type="dxa" w:w="1500"/>
            <w:tcMar>
              <w:top w:type="dxa" w:w="80"/>
              <w:left w:type="dxa" w:w="100"/>
              <w:bottom w:type="dxa" w:w="80"/>
              <w:right w:type="dxa" w:w="100"/>
            </w:tcMar>
          </w:tcPr>
          <w:p>
            <w:r>
              <w:rPr>
                <w:b w:val="false"/>
                <w:bCs w:val="false"/>
                <w:sz w:val="19"/>
                <w:szCs w:val="19"/>
              </w:rPr>
              <w:t xml:space="preserve">Jurnale tehnice de server (logs)</w:t>
            </w:r>
          </w:p>
        </w:tc>
        <w:tc>
          <w:tcPr>
            <w:tcW w:type="dxa" w:w="1900"/>
            <w:tcMar>
              <w:top w:type="dxa" w:w="80"/>
              <w:left w:type="dxa" w:w="100"/>
              <w:bottom w:type="dxa" w:w="80"/>
              <w:right w:type="dxa" w:w="100"/>
            </w:tcMar>
          </w:tcPr>
          <w:p>
            <w:r>
              <w:rPr>
                <w:b w:val="false"/>
                <w:bCs w:val="false"/>
                <w:sz w:val="19"/>
                <w:szCs w:val="19"/>
              </w:rPr>
              <w:t xml:space="preserve">Adresă IP, timestamp, user agent, rută accesată</w:t>
            </w:r>
          </w:p>
        </w:tc>
        <w:tc>
          <w:tcPr>
            <w:tcW w:type="dxa" w:w="1500"/>
            <w:tcMar>
              <w:top w:type="dxa" w:w="80"/>
              <w:left w:type="dxa" w:w="100"/>
              <w:bottom w:type="dxa" w:w="80"/>
              <w:right w:type="dxa" w:w="100"/>
            </w:tcMar>
          </w:tcPr>
          <w:p>
            <w:r>
              <w:rPr>
                <w:b w:val="false"/>
                <w:bCs w:val="false"/>
                <w:sz w:val="19"/>
                <w:szCs w:val="19"/>
              </w:rPr>
              <w:t xml:space="preserve">Securitate, depanare, prevenirea abuzurilor</w:t>
            </w:r>
          </w:p>
        </w:tc>
        <w:tc>
          <w:tcPr>
            <w:tcW w:type="dxa" w:w="1500"/>
            <w:tcMar>
              <w:top w:type="dxa" w:w="80"/>
              <w:left w:type="dxa" w:w="100"/>
              <w:bottom w:type="dxa" w:w="80"/>
              <w:right w:type="dxa" w:w="100"/>
            </w:tcMar>
          </w:tcPr>
          <w:p>
            <w:r>
              <w:rPr>
                <w:b w:val="false"/>
                <w:bCs w:val="false"/>
                <w:sz w:val="19"/>
                <w:szCs w:val="19"/>
              </w:rPr>
              <w:t xml:space="preserve">Interes legitim (art. 6(1)(f))</w:t>
            </w:r>
          </w:p>
        </w:tc>
        <w:tc>
          <w:tcPr>
            <w:tcW w:type="dxa" w:w="1500"/>
            <w:tcMar>
              <w:top w:type="dxa" w:w="80"/>
              <w:left w:type="dxa" w:w="100"/>
              <w:bottom w:type="dxa" w:w="80"/>
              <w:right w:type="dxa" w:w="100"/>
            </w:tcMar>
          </w:tcPr>
          <w:p>
            <w:r>
              <w:rPr>
                <w:b w:val="false"/>
                <w:bCs w:val="false"/>
                <w:sz w:val="19"/>
                <w:szCs w:val="19"/>
              </w:rPr>
              <w:t xml:space="preserve">Găzduire server [completează furnizorul]</w:t>
            </w:r>
          </w:p>
        </w:tc>
        <w:tc>
          <w:tcPr>
            <w:tcW w:type="dxa" w:w="1800"/>
            <w:tcMar>
              <w:top w:type="dxa" w:w="80"/>
              <w:left w:type="dxa" w:w="100"/>
              <w:bottom w:type="dxa" w:w="80"/>
              <w:right w:type="dxa" w:w="100"/>
            </w:tcMar>
          </w:tcPr>
          <w:p>
            <w:r>
              <w:rPr>
                <w:b w:val="false"/>
                <w:bCs w:val="false"/>
                <w:sz w:val="19"/>
                <w:szCs w:val="19"/>
              </w:rPr>
              <w:t xml:space="preserve">[completează: de regulă 30–90 de zile]</w:t>
            </w:r>
          </w:p>
        </w:tc>
      </w:tr>
      <w:tr>
        <w:tc>
          <w:tcPr>
            <w:tcW w:type="dxa" w:w="1500"/>
            <w:tcMar>
              <w:top w:type="dxa" w:w="80"/>
              <w:left w:type="dxa" w:w="100"/>
              <w:bottom w:type="dxa" w:w="80"/>
              <w:right w:type="dxa" w:w="100"/>
            </w:tcMar>
          </w:tcPr>
          <w:p>
            <w:r>
              <w:rPr>
                <w:b w:val="false"/>
                <w:bCs w:val="false"/>
                <w:sz w:val="19"/>
                <w:szCs w:val="19"/>
              </w:rPr>
              <w:t xml:space="preserve">Copii de siguranță (backup)</w:t>
            </w:r>
          </w:p>
        </w:tc>
        <w:tc>
          <w:tcPr>
            <w:tcW w:type="dxa" w:w="1900"/>
            <w:tcMar>
              <w:top w:type="dxa" w:w="80"/>
              <w:left w:type="dxa" w:w="100"/>
              <w:bottom w:type="dxa" w:w="80"/>
              <w:right w:type="dxa" w:w="100"/>
            </w:tcMar>
          </w:tcPr>
          <w:p>
            <w:r>
              <w:rPr>
                <w:b w:val="false"/>
                <w:bCs w:val="false"/>
                <w:sz w:val="19"/>
                <w:szCs w:val="19"/>
              </w:rPr>
              <w:t xml:space="preserve">Copie completă a bazei de date, la un moment dat</w:t>
            </w:r>
          </w:p>
        </w:tc>
        <w:tc>
          <w:tcPr>
            <w:tcW w:type="dxa" w:w="1500"/>
            <w:tcMar>
              <w:top w:type="dxa" w:w="80"/>
              <w:left w:type="dxa" w:w="100"/>
              <w:bottom w:type="dxa" w:w="80"/>
              <w:right w:type="dxa" w:w="100"/>
            </w:tcMar>
          </w:tcPr>
          <w:p>
            <w:r>
              <w:rPr>
                <w:b w:val="false"/>
                <w:bCs w:val="false"/>
                <w:sz w:val="19"/>
                <w:szCs w:val="19"/>
              </w:rPr>
              <w:t xml:space="preserve">Continuitatea serviciului, recuperare în caz de incident</w:t>
            </w:r>
          </w:p>
        </w:tc>
        <w:tc>
          <w:tcPr>
            <w:tcW w:type="dxa" w:w="1500"/>
            <w:tcMar>
              <w:top w:type="dxa" w:w="80"/>
              <w:left w:type="dxa" w:w="100"/>
              <w:bottom w:type="dxa" w:w="80"/>
              <w:right w:type="dxa" w:w="100"/>
            </w:tcMar>
          </w:tcPr>
          <w:p>
            <w:r>
              <w:rPr>
                <w:b w:val="false"/>
                <w:bCs w:val="false"/>
                <w:sz w:val="19"/>
                <w:szCs w:val="19"/>
              </w:rPr>
              <w:t xml:space="preserve">Interes legitim (art. 6(1)(f))</w:t>
            </w:r>
          </w:p>
        </w:tc>
        <w:tc>
          <w:tcPr>
            <w:tcW w:type="dxa" w:w="1500"/>
            <w:tcMar>
              <w:top w:type="dxa" w:w="80"/>
              <w:left w:type="dxa" w:w="100"/>
              <w:bottom w:type="dxa" w:w="80"/>
              <w:right w:type="dxa" w:w="100"/>
            </w:tcMar>
          </w:tcPr>
          <w:p>
            <w:r>
              <w:rPr>
                <w:b w:val="false"/>
                <w:bCs w:val="false"/>
                <w:sz w:val="19"/>
                <w:szCs w:val="19"/>
              </w:rPr>
              <w:t xml:space="preserve">Găzduire server / furnizor bază de date [completează]</w:t>
            </w:r>
          </w:p>
        </w:tc>
        <w:tc>
          <w:tcPr>
            <w:tcW w:type="dxa" w:w="1800"/>
            <w:tcMar>
              <w:top w:type="dxa" w:w="80"/>
              <w:left w:type="dxa" w:w="100"/>
              <w:bottom w:type="dxa" w:w="80"/>
              <w:right w:type="dxa" w:w="100"/>
            </w:tcMar>
          </w:tcPr>
          <w:p>
            <w:r>
              <w:rPr>
                <w:b w:val="false"/>
                <w:bCs w:val="false"/>
                <w:sz w:val="19"/>
                <w:szCs w:val="19"/>
              </w:rPr>
              <w:t xml:space="preserve">[completează: conform politicii de backup a furnizorului de găzduire]</w:t>
            </w:r>
          </w:p>
        </w:tc>
      </w:tr>
    </w:tbl>
    <w:p>
      <w:r>
        <w:br w:type="page"/>
      </w:r>
    </w:p>
    <w:p>
      <w:pPr>
        <w:pStyle w:val="Heading1"/>
        <w:spacing w:after="160" w:before="360"/>
      </w:pPr>
      <w:r>
        <w:t xml:space="preserve">5. Screening DPIA (evaluarea impactului asupra protecției datelor)</w:t>
      </w:r>
    </w:p>
    <w:p>
      <w:pPr>
        <w:spacing w:after="140"/>
      </w:pPr>
      <w:r>
        <w:t xml:space="preserve">O evaluare a impactului asupra protecției datelor (DPIA) completă e obligatorie doar când prelucrarea prezintă risc ridicat pentru drepturile persoanelor (art. 35 GDPR) — de exemplu, profilare sistematică pe scară largă, monitorizare sistematică a unui spațiu public, sau prelucrarea pe scară largă a unor categorii speciale de date.</w:t>
      </w:r>
    </w:p>
    <w:p>
      <w:pPr>
        <w:pStyle w:val="Heading2"/>
        <w:spacing w:after="120" w:before="260"/>
      </w:pPr>
      <w:r>
        <w:t>Concluzia screening-ului pentru Herbatium</w:t>
      </w:r>
    </w:p>
    <w:p>
      <w:pPr>
        <w:pStyle w:val="ListParagraph"/>
        <w:numPr>
          <w:ilvl w:val="0"/>
          <w:numId w:val="1"/>
        </w:numPr>
        <w:spacing w:after="80"/>
      </w:pPr>
      <w:r>
        <w:t xml:space="preserve">Nu se prelucrează categorii speciale de date (sănătate, origine etnică, opinii politice etc.) în mod sistematic.</w:t>
      </w:r>
    </w:p>
    <w:p>
      <w:pPr>
        <w:pStyle w:val="ListParagraph"/>
        <w:numPr>
          <w:ilvl w:val="0"/>
          <w:numId w:val="1"/>
        </w:numPr>
        <w:spacing w:after="80"/>
      </w:pPr>
      <w:r>
        <w:t xml:space="preserve">Nu există profilare automată sau luare de decizii automatizate cu efecte juridice asupra utilizatorilor.</w:t>
      </w:r>
    </w:p>
    <w:p>
      <w:pPr>
        <w:pStyle w:val="ListParagraph"/>
        <w:numPr>
          <w:ilvl w:val="0"/>
          <w:numId w:val="1"/>
        </w:numPr>
        <w:spacing w:after="80"/>
      </w:pPr>
      <w:r>
        <w:t xml:space="preserve">Nu există monitorizare sistematică a persoanelor la scară largă.</w:t>
      </w:r>
    </w:p>
    <w:p>
      <w:pPr>
        <w:pStyle w:val="ListParagraph"/>
        <w:numPr>
          <w:ilvl w:val="0"/>
          <w:numId w:val="1"/>
        </w:numPr>
        <w:spacing w:after="80"/>
      </w:pPr>
      <w:r>
        <w:t xml:space="preserve">Volumul de date personale colectat per utilizator e minim (email, opțional nume de afacere) — restul e conținut despre produse și rețete, nu date personale.</w:t>
      </w:r>
    </w:p>
    <w:p>
      <w:pPr>
        <w:spacing w:after="140"/>
      </w:pPr>
      <w:r>
        <w:t xml:space="preserve">Concluzie: o DPIA completă nu este necesară în stadiul actual al aplicației. Reevaluează această concluzie dacă adaugi funcționalități noi cu risc mai ridicat (ex. scoring automat al clienților, colectare de date biometrice, monitorizare extinsă).</w:t>
      </w:r>
    </w:p>
    <w:p>
      <w:r>
        <w:br w:type="page"/>
      </w:r>
    </w:p>
    <w:p>
      <w:pPr>
        <w:pStyle w:val="Heading1"/>
        <w:spacing w:after="160" w:before="360"/>
      </w:pPr>
      <w:r>
        <w:t xml:space="preserve">6. Furnizori și subîmputerniciți</w:t>
      </w:r>
    </w:p>
    <w:p>
      <w:pPr>
        <w:spacing w:after="140"/>
      </w:pPr>
      <w:r>
        <w:t>Lista serviciilor externe cărora Herbatium le transmite sau prin care găzduiește date cu caracter personal. Completeaz-o cu furnizorii reali aleși înainte de lansare — și verifică fiecare are un contract/DPA propriu care acoperă GDPR.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100"/>
        <w:gridCol w:w="1600"/>
        <w:gridCol w:w="2000"/>
      </w:tblGrid>
      <w:tr>
        <w:trPr>
          <w:tblHeader/>
        </w:trPr>
        <w:tc>
          <w:tcPr>
            <w:tcW w:type="dxa" w:w="1900"/>
            <w:shd w:fill="2F6F4E" w:val="clear"/>
            <w:tcMar>
              <w:top w:type="dxa" w:w="80"/>
              <w:left w:type="dxa" w:w="100"/>
              <w:bottom w:type="dxa" w:w="80"/>
              <w:right w:type="dxa" w:w="100"/>
            </w:tcMar>
          </w:tcPr>
          <w:p>
            <w:r>
              <w:rPr>
                <w:b/>
                <w:bCs/>
                <w:color w:val="FFFFFF"/>
                <w:sz w:val="19"/>
                <w:szCs w:val="19"/>
              </w:rPr>
              <w:t xml:space="preserve">Furnizor</w:t>
            </w:r>
          </w:p>
        </w:tc>
        <w:tc>
          <w:tcPr>
            <w:tcW w:type="dxa" w:w="1700"/>
            <w:shd w:fill="2F6F4E" w:val="clear"/>
            <w:tcMar>
              <w:top w:type="dxa" w:w="80"/>
              <w:left w:type="dxa" w:w="100"/>
              <w:bottom w:type="dxa" w:w="80"/>
              <w:right w:type="dxa" w:w="100"/>
            </w:tcMar>
          </w:tcPr>
          <w:p>
            <w:r>
              <w:rPr>
                <w:b/>
                <w:bCs/>
                <w:color w:val="FFFFFF"/>
                <w:sz w:val="19"/>
                <w:szCs w:val="19"/>
              </w:rPr>
              <w:t xml:space="preserve">Rol</w:t>
            </w:r>
          </w:p>
        </w:tc>
        <w:tc>
          <w:tcPr>
            <w:tcW w:type="dxa" w:w="2100"/>
            <w:shd w:fill="2F6F4E" w:val="clear"/>
            <w:tcMar>
              <w:top w:type="dxa" w:w="80"/>
              <w:left w:type="dxa" w:w="100"/>
              <w:bottom w:type="dxa" w:w="80"/>
              <w:right w:type="dxa" w:w="100"/>
            </w:tcMar>
          </w:tcPr>
          <w:p>
            <w:r>
              <w:rPr>
                <w:b/>
                <w:bCs/>
                <w:color w:val="FFFFFF"/>
                <w:sz w:val="19"/>
                <w:szCs w:val="19"/>
              </w:rPr>
              <w:t xml:space="preserve">Date la care are acces</w:t>
            </w:r>
          </w:p>
        </w:tc>
        <w:tc>
          <w:tcPr>
            <w:tcW w:type="dxa" w:w="1600"/>
            <w:shd w:fill="2F6F4E" w:val="clear"/>
            <w:tcMar>
              <w:top w:type="dxa" w:w="80"/>
              <w:left w:type="dxa" w:w="100"/>
              <w:bottom w:type="dxa" w:w="80"/>
              <w:right w:type="dxa" w:w="100"/>
            </w:tcMar>
          </w:tcPr>
          <w:p>
            <w:r>
              <w:rPr>
                <w:b/>
                <w:bCs/>
                <w:color w:val="FFFFFF"/>
                <w:sz w:val="19"/>
                <w:szCs w:val="19"/>
              </w:rPr>
              <w:t xml:space="preserve">Locație/transfer</w:t>
            </w:r>
          </w:p>
        </w:tc>
        <w:tc>
          <w:tcPr>
            <w:tcW w:type="dxa" w:w="2000"/>
            <w:shd w:fill="2F6F4E" w:val="clear"/>
            <w:tcMar>
              <w:top w:type="dxa" w:w="80"/>
              <w:left w:type="dxa" w:w="100"/>
              <w:bottom w:type="dxa" w:w="80"/>
              <w:right w:type="dxa" w:w="100"/>
            </w:tcMar>
          </w:tcPr>
          <w:p>
            <w:r>
              <w:rPr>
                <w:b/>
                <w:bCs/>
                <w:color w:val="FFFFFF"/>
                <w:sz w:val="19"/>
                <w:szCs w:val="19"/>
              </w:rPr>
              <w:t xml:space="preserve">Contract GDPR semnat?</w:t>
            </w:r>
          </w:p>
        </w:tc>
      </w:tr>
      <w:tr>
        <w:tc>
          <w:tcPr>
            <w:tcW w:type="dxa" w:w="1900"/>
            <w:tcMar>
              <w:top w:type="dxa" w:w="80"/>
              <w:left w:type="dxa" w:w="100"/>
              <w:bottom w:type="dxa" w:w="80"/>
              <w:right w:type="dxa" w:w="100"/>
            </w:tcMar>
          </w:tcPr>
          <w:p>
            <w:r>
              <w:rPr>
                <w:b w:val="false"/>
                <w:bCs w:val="false"/>
                <w:sz w:val="19"/>
                <w:szCs w:val="19"/>
              </w:rPr>
              <w:t xml:space="preserve">[completează: furnizor de găzduire — server + bază de date]</w:t>
            </w:r>
          </w:p>
        </w:tc>
        <w:tc>
          <w:tcPr>
            <w:tcW w:type="dxa" w:w="1700"/>
            <w:tcMar>
              <w:top w:type="dxa" w:w="80"/>
              <w:left w:type="dxa" w:w="100"/>
              <w:bottom w:type="dxa" w:w="80"/>
              <w:right w:type="dxa" w:w="100"/>
            </w:tcMar>
          </w:tcPr>
          <w:p>
            <w:r>
              <w:rPr>
                <w:b w:val="false"/>
                <w:bCs w:val="false"/>
                <w:sz w:val="19"/>
                <w:szCs w:val="19"/>
              </w:rPr>
              <w:t xml:space="preserve">Găzduire aplicație și bază de date</w:t>
            </w:r>
          </w:p>
        </w:tc>
        <w:tc>
          <w:tcPr>
            <w:tcW w:type="dxa" w:w="2100"/>
            <w:tcMar>
              <w:top w:type="dxa" w:w="80"/>
              <w:left w:type="dxa" w:w="100"/>
              <w:bottom w:type="dxa" w:w="80"/>
              <w:right w:type="dxa" w:w="100"/>
            </w:tcMar>
          </w:tcPr>
          <w:p>
            <w:r>
              <w:rPr>
                <w:b w:val="false"/>
                <w:bCs w:val="false"/>
                <w:sz w:val="19"/>
                <w:szCs w:val="19"/>
              </w:rPr>
              <w:t xml:space="preserve">Toate datele din aplicație</w:t>
            </w:r>
          </w:p>
        </w:tc>
        <w:tc>
          <w:tcPr>
            <w:tcW w:type="dxa" w:w="1600"/>
            <w:tcMar>
              <w:top w:type="dxa" w:w="80"/>
              <w:left w:type="dxa" w:w="100"/>
              <w:bottom w:type="dxa" w:w="80"/>
              <w:right w:type="dxa" w:w="100"/>
            </w:tcMar>
          </w:tcPr>
          <w:p>
            <w:r>
              <w:rPr>
                <w:b w:val="false"/>
                <w:bCs w:val="false"/>
                <w:sz w:val="19"/>
                <w:szCs w:val="19"/>
              </w:rPr>
              <w:t xml:space="preserve">[completează: UE / în afara UE]</w:t>
            </w:r>
          </w:p>
        </w:tc>
        <w:tc>
          <w:tcPr>
            <w:tcW w:type="dxa" w:w="2000"/>
            <w:tcMar>
              <w:top w:type="dxa" w:w="80"/>
              <w:left w:type="dxa" w:w="100"/>
              <w:bottom w:type="dxa" w:w="80"/>
              <w:right w:type="dxa" w:w="100"/>
            </w:tcMar>
          </w:tcPr>
          <w:p>
            <w:r>
              <w:rPr>
                <w:b w:val="false"/>
                <w:bCs w:val="false"/>
                <w:sz w:val="19"/>
                <w:szCs w:val="19"/>
              </w:rPr>
              <w:t xml:space="preserve">[Da/Nu — completează]</w:t>
            </w:r>
          </w:p>
        </w:tc>
      </w:tr>
      <w:tr>
        <w:tc>
          <w:tcPr>
            <w:tcW w:type="dxa" w:w="1900"/>
            <w:tcMar>
              <w:top w:type="dxa" w:w="80"/>
              <w:left w:type="dxa" w:w="100"/>
              <w:bottom w:type="dxa" w:w="80"/>
              <w:right w:type="dxa" w:w="100"/>
            </w:tcMar>
          </w:tcPr>
          <w:p>
            <w:r>
              <w:rPr>
                <w:b w:val="false"/>
                <w:bCs w:val="false"/>
                <w:sz w:val="19"/>
                <w:szCs w:val="19"/>
              </w:rPr>
              <w:t xml:space="preserve">Stripe</w:t>
            </w:r>
          </w:p>
        </w:tc>
        <w:tc>
          <w:tcPr>
            <w:tcW w:type="dxa" w:w="1700"/>
            <w:tcMar>
              <w:top w:type="dxa" w:w="80"/>
              <w:left w:type="dxa" w:w="100"/>
              <w:bottom w:type="dxa" w:w="80"/>
              <w:right w:type="dxa" w:w="100"/>
            </w:tcMar>
          </w:tcPr>
          <w:p>
            <w:r>
              <w:rPr>
                <w:b w:val="false"/>
                <w:bCs w:val="false"/>
                <w:sz w:val="19"/>
                <w:szCs w:val="19"/>
              </w:rPr>
              <w:t xml:space="preserve">Procesare plăți și abonamente</w:t>
            </w:r>
          </w:p>
        </w:tc>
        <w:tc>
          <w:tcPr>
            <w:tcW w:type="dxa" w:w="2100"/>
            <w:tcMar>
              <w:top w:type="dxa" w:w="80"/>
              <w:left w:type="dxa" w:w="100"/>
              <w:bottom w:type="dxa" w:w="80"/>
              <w:right w:type="dxa" w:w="100"/>
            </w:tcMar>
          </w:tcPr>
          <w:p>
            <w:r>
              <w:rPr>
                <w:b w:val="false"/>
                <w:bCs w:val="false"/>
                <w:sz w:val="19"/>
                <w:szCs w:val="19"/>
              </w:rPr>
              <w:t xml:space="preserve">Date de facturare și card ale utilizatorului</w:t>
            </w:r>
          </w:p>
        </w:tc>
        <w:tc>
          <w:tcPr>
            <w:tcW w:type="dxa" w:w="1600"/>
            <w:tcMar>
              <w:top w:type="dxa" w:w="80"/>
              <w:left w:type="dxa" w:w="100"/>
              <w:bottom w:type="dxa" w:w="80"/>
              <w:right w:type="dxa" w:w="100"/>
            </w:tcMar>
          </w:tcPr>
          <w:p>
            <w:r>
              <w:rPr>
                <w:b w:val="false"/>
                <w:bCs w:val="false"/>
                <w:sz w:val="19"/>
                <w:szCs w:val="19"/>
              </w:rPr>
              <w:t xml:space="preserve">SUA / UE (clauze contractuale standard)</w:t>
            </w:r>
          </w:p>
        </w:tc>
        <w:tc>
          <w:tcPr>
            <w:tcW w:type="dxa" w:w="2000"/>
            <w:tcMar>
              <w:top w:type="dxa" w:w="80"/>
              <w:left w:type="dxa" w:w="100"/>
              <w:bottom w:type="dxa" w:w="80"/>
              <w:right w:type="dxa" w:w="100"/>
            </w:tcMar>
          </w:tcPr>
          <w:p>
            <w:r>
              <w:rPr>
                <w:b w:val="false"/>
                <w:bCs w:val="false"/>
                <w:sz w:val="19"/>
                <w:szCs w:val="19"/>
              </w:rPr>
              <w:t xml:space="preserve">Da — Stripe Data Processing Agreement (acceptat la crearea contului Stripe)</w:t>
            </w:r>
          </w:p>
        </w:tc>
      </w:tr>
      <w:tr>
        <w:tc>
          <w:tcPr>
            <w:tcW w:type="dxa" w:w="1900"/>
            <w:tcMar>
              <w:top w:type="dxa" w:w="80"/>
              <w:left w:type="dxa" w:w="100"/>
              <w:bottom w:type="dxa" w:w="80"/>
              <w:right w:type="dxa" w:w="100"/>
            </w:tcMar>
          </w:tcPr>
          <w:p>
            <w:r>
              <w:rPr>
                <w:b w:val="false"/>
                <w:bCs w:val="false"/>
                <w:sz w:val="19"/>
                <w:szCs w:val="19"/>
              </w:rPr>
              <w:t xml:space="preserve">Resend</w:t>
            </w:r>
          </w:p>
        </w:tc>
        <w:tc>
          <w:tcPr>
            <w:tcW w:type="dxa" w:w="1700"/>
            <w:tcMar>
              <w:top w:type="dxa" w:w="80"/>
              <w:left w:type="dxa" w:w="100"/>
              <w:bottom w:type="dxa" w:w="80"/>
              <w:right w:type="dxa" w:w="100"/>
            </w:tcMar>
          </w:tcPr>
          <w:p>
            <w:r>
              <w:rPr>
                <w:b w:val="false"/>
                <w:bCs w:val="false"/>
                <w:sz w:val="19"/>
                <w:szCs w:val="19"/>
              </w:rPr>
              <w:t xml:space="preserve">Trimitere email tranzacțional (digest opțional)</w:t>
            </w:r>
          </w:p>
        </w:tc>
        <w:tc>
          <w:tcPr>
            <w:tcW w:type="dxa" w:w="2100"/>
            <w:tcMar>
              <w:top w:type="dxa" w:w="80"/>
              <w:left w:type="dxa" w:w="100"/>
              <w:bottom w:type="dxa" w:w="80"/>
              <w:right w:type="dxa" w:w="100"/>
            </w:tcMar>
          </w:tcPr>
          <w:p>
            <w:r>
              <w:rPr>
                <w:b w:val="false"/>
                <w:bCs w:val="false"/>
                <w:sz w:val="19"/>
                <w:szCs w:val="19"/>
              </w:rPr>
              <w:t xml:space="preserve">Adresa de email a utilizatorului, conținutul emailului</w:t>
            </w:r>
          </w:p>
        </w:tc>
        <w:tc>
          <w:tcPr>
            <w:tcW w:type="dxa" w:w="1600"/>
            <w:tcMar>
              <w:top w:type="dxa" w:w="80"/>
              <w:left w:type="dxa" w:w="100"/>
              <w:bottom w:type="dxa" w:w="80"/>
              <w:right w:type="dxa" w:w="100"/>
            </w:tcMar>
          </w:tcPr>
          <w:p>
            <w:r>
              <w:rPr>
                <w:b w:val="false"/>
                <w:bCs w:val="false"/>
                <w:sz w:val="19"/>
                <w:szCs w:val="19"/>
              </w:rPr>
              <w:t xml:space="preserve">[completează: verifică locația de procesare Resend]</w:t>
            </w:r>
          </w:p>
        </w:tc>
        <w:tc>
          <w:tcPr>
            <w:tcW w:type="dxa" w:w="2000"/>
            <w:tcMar>
              <w:top w:type="dxa" w:w="80"/>
              <w:left w:type="dxa" w:w="100"/>
              <w:bottom w:type="dxa" w:w="80"/>
              <w:right w:type="dxa" w:w="100"/>
            </w:tcMar>
          </w:tcPr>
          <w:p>
            <w:r>
              <w:rPr>
                <w:b w:val="false"/>
                <w:bCs w:val="false"/>
                <w:sz w:val="19"/>
                <w:szCs w:val="19"/>
              </w:rPr>
              <w:t xml:space="preserve">[Da/Nu — verifică DPA-ul Resend]</w:t>
            </w:r>
          </w:p>
        </w:tc>
      </w:tr>
      <w:tr>
        <w:tc>
          <w:tcPr>
            <w:tcW w:type="dxa" w:w="1900"/>
            <w:tcMar>
              <w:top w:type="dxa" w:w="80"/>
              <w:left w:type="dxa" w:w="100"/>
              <w:bottom w:type="dxa" w:w="80"/>
              <w:right w:type="dxa" w:w="100"/>
            </w:tcMar>
          </w:tcPr>
          <w:p>
            <w:r>
              <w:rPr>
                <w:b w:val="false"/>
                <w:bCs w:val="false"/>
                <w:sz w:val="19"/>
                <w:szCs w:val="19"/>
              </w:rPr>
              <w:t xml:space="preserve">Google Fonts</w:t>
            </w:r>
          </w:p>
        </w:tc>
        <w:tc>
          <w:tcPr>
            <w:tcW w:type="dxa" w:w="1700"/>
            <w:tcMar>
              <w:top w:type="dxa" w:w="80"/>
              <w:left w:type="dxa" w:w="100"/>
              <w:bottom w:type="dxa" w:w="80"/>
              <w:right w:type="dxa" w:w="100"/>
            </w:tcMar>
          </w:tcPr>
          <w:p>
            <w:r>
              <w:rPr>
                <w:b w:val="false"/>
                <w:bCs w:val="false"/>
                <w:sz w:val="19"/>
                <w:szCs w:val="19"/>
              </w:rPr>
              <w:t xml:space="preserve">Servire fonturi web (afișare pagini)</w:t>
            </w:r>
          </w:p>
        </w:tc>
        <w:tc>
          <w:tcPr>
            <w:tcW w:type="dxa" w:w="2100"/>
            <w:tcMar>
              <w:top w:type="dxa" w:w="80"/>
              <w:left w:type="dxa" w:w="100"/>
              <w:bottom w:type="dxa" w:w="80"/>
              <w:right w:type="dxa" w:w="100"/>
            </w:tcMar>
          </w:tcPr>
          <w:p>
            <w:r>
              <w:rPr>
                <w:b w:val="false"/>
                <w:bCs w:val="false"/>
                <w:sz w:val="19"/>
                <w:szCs w:val="19"/>
              </w:rPr>
              <w:t xml:space="preserve">Adresa IP a vizitatorului, la momentul încărcării fontului</w:t>
            </w:r>
          </w:p>
        </w:tc>
        <w:tc>
          <w:tcPr>
            <w:tcW w:type="dxa" w:w="1600"/>
            <w:tcMar>
              <w:top w:type="dxa" w:w="80"/>
              <w:left w:type="dxa" w:w="100"/>
              <w:bottom w:type="dxa" w:w="80"/>
              <w:right w:type="dxa" w:w="100"/>
            </w:tcMar>
          </w:tcPr>
          <w:p>
            <w:r>
              <w:rPr>
                <w:b w:val="false"/>
                <w:bCs w:val="false"/>
                <w:sz w:val="19"/>
                <w:szCs w:val="19"/>
              </w:rPr>
              <w:t xml:space="preserve">SUA/UE, conform infrastructurii Google</w:t>
            </w:r>
          </w:p>
        </w:tc>
        <w:tc>
          <w:tcPr>
            <w:tcW w:type="dxa" w:w="2000"/>
            <w:tcMar>
              <w:top w:type="dxa" w:w="80"/>
              <w:left w:type="dxa" w:w="100"/>
              <w:bottom w:type="dxa" w:w="80"/>
              <w:right w:type="dxa" w:w="100"/>
            </w:tcMar>
          </w:tcPr>
          <w:p>
            <w:r>
              <w:rPr>
                <w:b w:val="false"/>
                <w:bCs w:val="false"/>
                <w:sz w:val="19"/>
                <w:szCs w:val="19"/>
              </w:rPr>
              <w:t xml:space="preserve">Vezi politica Google — menționat explicit pe /legal/cookies</w:t>
            </w:r>
          </w:p>
        </w:tc>
      </w:tr>
    </w:tbl>
    <w:p>
      <w:r>
        <w:br w:type="page"/>
      </w:r>
    </w:p>
    <w:p>
      <w:pPr>
        <w:pStyle w:val="Heading1"/>
        <w:spacing w:after="160" w:before="360"/>
      </w:pPr>
      <w:r>
        <w:t xml:space="preserve">7. Procedura de răspuns la cererile persoanelor vizate</w:t>
      </w:r>
    </w:p>
    <w:p>
      <w:pPr>
        <w:spacing w:after="140"/>
      </w:pPr>
      <w:r>
        <w:t>GDPR dă persoanelor vizate dreptul de acces, rectificare, ștergere, restricționare, portabilitate și opoziție (art. 15–21). Pentru cele mai frecvente cereri, Herbatium oferă unelte self-service direct în aplicație; pentru restul, se urmează procedura de mai jos.</w:t>
      </w:r>
    </w:p>
    <w:p>
      <w:pPr>
        <w:pStyle w:val="Heading2"/>
        <w:spacing w:after="120" w:before="260"/>
      </w:pPr>
      <w:r>
        <w:t xml:space="preserve">Ce e deja self-service (fără intervenție manuală)</w:t>
      </w:r>
    </w:p>
    <w:p>
      <w:pPr>
        <w:pStyle w:val="ListParagraph"/>
        <w:numPr>
          <w:ilvl w:val="0"/>
          <w:numId w:val="1"/>
        </w:numPr>
        <w:spacing w:after="80"/>
      </w:pPr>
      <w:r>
        <w:t xml:space="preserve">Acces + portabilitate (art. 15, 20): tabul „Cont &amp; confidențialitate” → „Descarcă datele contului (JSON)”.</w:t>
      </w:r>
    </w:p>
    <w:p>
      <w:pPr>
        <w:pStyle w:val="ListParagraph"/>
        <w:numPr>
          <w:ilvl w:val="0"/>
          <w:numId w:val="1"/>
        </w:numPr>
        <w:spacing w:after="80"/>
      </w:pPr>
      <w:r>
        <w:t xml:space="preserve">Ștergere (art. 17): tabul „Cont &amp; confidențialitate” → „Șterge contul definitiv” (necesită reconfirmarea parolei).</w:t>
      </w:r>
    </w:p>
    <w:p>
      <w:pPr>
        <w:pStyle w:val="ListParagraph"/>
        <w:numPr>
          <w:ilvl w:val="0"/>
          <w:numId w:val="1"/>
        </w:numPr>
        <w:spacing w:after="80"/>
      </w:pPr>
      <w:r>
        <w:t xml:space="preserve">Retragerea consimțământului de marketing (art. 7(3)): aceeași pagină, o singură bifă.</w:t>
      </w:r>
    </w:p>
    <w:p>
      <w:pPr>
        <w:pStyle w:val="Heading2"/>
        <w:spacing w:after="120" w:before="260"/>
      </w:pPr>
      <w:r>
        <w:t xml:space="preserve">Procedura pentru restul cererilor (rectificare, opoziție, restricționare, sau cereri primite prin email)</w:t>
      </w:r>
    </w:p>
    <w:p>
      <w:pPr>
        <w:spacing w:after="100"/>
      </w:pPr>
      <w:r>
        <w:t xml:space="preserve">1. Primire și confirmare: orice cerere primită la adresa [completează: COMPANY_GDPR_EMAIL] se confirmă de primire în maxim 3 zile lucrătoare.</w:t>
      </w:r>
    </w:p>
    <w:p>
      <w:pPr>
        <w:spacing w:after="100"/>
      </w:pPr>
      <w:r>
        <w:t xml:space="preserve">2. Verificarea identității: se confirmă că solicitantul e titularul contului (de regulă prin adresa de email asociată contului).</w:t>
      </w:r>
    </w:p>
    <w:p>
      <w:pPr>
        <w:spacing w:after="100"/>
      </w:pPr>
      <w:r>
        <w:t xml:space="preserve">3. Evaluare: se stabilește ce presupune cererea concret și dacă există vreo excepție legală care limitează dreptul respectiv (ex. o obligație legală de păstrare a datelor de facturare).</w:t>
      </w:r>
    </w:p>
    <w:p>
      <w:pPr>
        <w:spacing w:after="100"/>
      </w:pPr>
      <w:r>
        <w:t xml:space="preserve">4. Executare: se aplică modificarea cerută direct în baza de date (rectificare, restricționare) sau se explică refuzul motivat, dacă e cazul.</w:t>
      </w:r>
    </w:p>
    <w:p>
      <w:pPr>
        <w:spacing w:after="100"/>
      </w:pPr>
      <w:r>
        <w:t xml:space="preserve">5. Răspuns final: se răspunde solicitantului în maxim 30 de zile calendaristice de la primirea cererii (termen prelungibil cu încă 60 de zile pentru cereri complexe, cu informarea solicitantului despre motiv).</w:t>
      </w:r>
    </w:p>
    <w:p>
      <w:r>
        <w:br w:type="page"/>
      </w:r>
    </w:p>
    <w:p>
      <w:pPr>
        <w:pStyle w:val="Heading1"/>
        <w:spacing w:after="160" w:before="360"/>
      </w:pPr>
      <w:r>
        <w:t xml:space="preserve">8. Procedura de gestionare a unei breșe de securitate</w:t>
      </w:r>
    </w:p>
    <w:p>
      <w:pPr>
        <w:spacing w:after="140"/>
      </w:pPr>
      <w:r>
        <w:t xml:space="preserve">O breșă de securitate (data breach) e orice incident care duce la distrugerea, pierderea, alterarea, divulgarea sau accesul neautorizat la date cu caracter personal — de exemplu, o bază de date compromisă, un server neautorizat accesat, sau un email trimis din greșeală cu date ale altui utilizator.</w:t>
      </w:r>
    </w:p>
    <w:p>
      <w:pPr>
        <w:spacing w:after="100"/>
      </w:pPr>
      <w:r>
        <w:t xml:space="preserve">1. Identificare și izolare: la suspiciunea unei breșe, se izolează imediat sistemul afectat (ex. se revocă acces, se schimbă credențiale, se oprește serviciul compromis dacă e necesar) pentru a opri extinderea incidentului.</w:t>
      </w:r>
    </w:p>
    <w:p>
      <w:pPr>
        <w:spacing w:after="100"/>
      </w:pPr>
      <w:r>
        <w:t xml:space="preserve">2. Evaluare inițială: se stabilește ce date au fost afectate, câți utilizatori, și cât de sensibile sunt datele (parole, date de plată, doar email etc.).</w:t>
      </w:r>
    </w:p>
    <w:p>
      <w:pPr>
        <w:spacing w:after="100"/>
      </w:pPr>
      <w:r>
        <w:t xml:space="preserve">3. Documentare: se notează cronologia incidentului — când a fost descoperit, ce s-a întâmplat, ce măsuri s-au luat — într-un jurnal intern al incidentului (obligatoriu conform art. 33(5), chiar dacă nu se notifică ANSPDCP).</w:t>
      </w:r>
    </w:p>
    <w:p>
      <w:pPr>
        <w:spacing w:after="100"/>
      </w:pPr>
      <w:r>
        <w:t xml:space="preserve">4. Notificarea ANSPDCP: dacă breșa prezintă risc pentru drepturile persoanelor vizate, se notifică Autoritatea Națională de Supraveghere a Prelucrării Datelor cu Caracter Personal (ANSPDCP) în maxim 72 de ore de la luarea la cunoștință (art. 33).</w:t>
      </w:r>
    </w:p>
    <w:p>
      <w:pPr>
        <w:spacing w:after="100"/>
      </w:pPr>
      <w:r>
        <w:t xml:space="preserve">5. Notificarea persoanelor afectate: dacă breșa prezintă risc ridicat pentru persoanele vizate (ex. parole sau date de plată expuse), acestea sunt informate direct și fără întârzieri nejustificate (art. 34), cu explicarea clară a ce s-a întâmplat și ce pot face (ex. schimbarea parolei).</w:t>
      </w:r>
    </w:p>
    <w:p>
      <w:pPr>
        <w:spacing w:after="100"/>
      </w:pPr>
      <w:r>
        <w:t xml:space="preserve">6. Remediere și revizuire: se aplică o corecție definitivă (patch de securitate, rotație de chei/secrete etc.) și se actualizează acest document dacă incidentul arată o lacună în procesul descris aici.</w:t>
      </w:r>
    </w:p>
    <w:p>
      <w:pPr>
        <w:spacing w:after="160"/>
      </w:pPr>
      <w:r>
        <w:rPr>
          <w:i/>
          <w:iCs/>
          <w:color w:val="6B6B6B"/>
          <w:sz w:val="20"/>
          <w:szCs w:val="20"/>
        </w:rPr>
        <w:t xml:space="preserve">Contact ANSPDCP: anspdcp.ro — formularul de notificare a breșelor e disponibil în secțiunea dedicată operatorilor de date de pe site-ul autorității.</w:t>
      </w:r>
    </w:p>
    <w:p>
      <w:r>
        <w:br w:type="page"/>
      </w:r>
    </w:p>
    <w:p>
      <w:pPr>
        <w:pStyle w:val="Heading1"/>
        <w:spacing w:after="160" w:before="360"/>
      </w:pPr>
      <w:r>
        <w:t xml:space="preserve">9. Perioade de retenție a datelor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rPr>
          <w:tblHeader/>
        </w:trPr>
        <w:tc>
          <w:tcPr>
            <w:tcW w:type="dxa" w:w="2600"/>
            <w:shd w:fill="2F6F4E" w:val="clear"/>
            <w:tcMar>
              <w:top w:type="dxa" w:w="80"/>
              <w:left w:type="dxa" w:w="100"/>
              <w:bottom w:type="dxa" w:w="80"/>
              <w:right w:type="dxa" w:w="100"/>
            </w:tcMar>
          </w:tcPr>
          <w:p>
            <w:r>
              <w:rPr>
                <w:b/>
                <w:bCs/>
                <w:color w:val="FFFFFF"/>
                <w:sz w:val="19"/>
                <w:szCs w:val="19"/>
              </w:rPr>
              <w:t xml:space="preserve">Categorie de date</w:t>
            </w:r>
          </w:p>
        </w:tc>
        <w:tc>
          <w:tcPr>
            <w:tcW w:type="dxa" w:w="2400"/>
            <w:shd w:fill="2F6F4E" w:val="clear"/>
            <w:tcMar>
              <w:top w:type="dxa" w:w="80"/>
              <w:left w:type="dxa" w:w="100"/>
              <w:bottom w:type="dxa" w:w="80"/>
              <w:right w:type="dxa" w:w="100"/>
            </w:tcMar>
          </w:tcPr>
          <w:p>
            <w:r>
              <w:rPr>
                <w:b/>
                <w:bCs/>
                <w:color w:val="FFFFFF"/>
                <w:sz w:val="19"/>
                <w:szCs w:val="19"/>
              </w:rPr>
              <w:t xml:space="preserve">Durată de păstrare</w:t>
            </w:r>
          </w:p>
        </w:tc>
        <w:tc>
          <w:tcPr>
            <w:tcW w:type="dxa" w:w="4200"/>
            <w:shd w:fill="2F6F4E" w:val="clear"/>
            <w:tcMar>
              <w:top w:type="dxa" w:w="80"/>
              <w:left w:type="dxa" w:w="100"/>
              <w:bottom w:type="dxa" w:w="80"/>
              <w:right w:type="dxa" w:w="100"/>
            </w:tcMar>
          </w:tcPr>
          <w:p>
            <w:r>
              <w:rPr>
                <w:b/>
                <w:bCs/>
                <w:color w:val="FFFFFF"/>
                <w:sz w:val="19"/>
                <w:szCs w:val="19"/>
              </w:rPr>
              <w:t xml:space="preserve">Ce se întâmplă la expirare / la ștergerea contului</w:t>
            </w:r>
          </w:p>
        </w:tc>
      </w:tr>
      <w:tr>
        <w:tc>
          <w:tcPr>
            <w:tcW w:type="dxa" w:w="2600"/>
            <w:tcMar>
              <w:top w:type="dxa" w:w="80"/>
              <w:left w:type="dxa" w:w="100"/>
              <w:bottom w:type="dxa" w:w="80"/>
              <w:right w:type="dxa" w:w="100"/>
            </w:tcMar>
          </w:tcPr>
          <w:p>
            <w:r>
              <w:rPr>
                <w:b w:val="false"/>
                <w:bCs w:val="false"/>
                <w:sz w:val="19"/>
                <w:szCs w:val="19"/>
              </w:rPr>
              <w:t xml:space="preserve">Date de cont (email, parolă hash, consimțăminte)</w:t>
            </w:r>
          </w:p>
        </w:tc>
        <w:tc>
          <w:tcPr>
            <w:tcW w:type="dxa" w:w="2400"/>
            <w:tcMar>
              <w:top w:type="dxa" w:w="80"/>
              <w:left w:type="dxa" w:w="100"/>
              <w:bottom w:type="dxa" w:w="80"/>
              <w:right w:type="dxa" w:w="100"/>
            </w:tcMar>
          </w:tcPr>
          <w:p>
            <w:r>
              <w:rPr>
                <w:b w:val="false"/>
                <w:bCs w:val="false"/>
                <w:sz w:val="19"/>
                <w:szCs w:val="19"/>
              </w:rPr>
              <w:t xml:space="preserve">Cât timp contul e activ</w:t>
            </w:r>
          </w:p>
        </w:tc>
        <w:tc>
          <w:tcPr>
            <w:tcW w:type="dxa" w:w="4200"/>
            <w:tcMar>
              <w:top w:type="dxa" w:w="80"/>
              <w:left w:type="dxa" w:w="100"/>
              <w:bottom w:type="dxa" w:w="80"/>
              <w:right w:type="dxa" w:w="100"/>
            </w:tcMar>
          </w:tcPr>
          <w:p>
            <w:r>
              <w:rPr>
                <w:b w:val="false"/>
                <w:bCs w:val="false"/>
                <w:sz w:val="19"/>
                <w:szCs w:val="19"/>
              </w:rPr>
              <w:t xml:space="preserve">Șterse ireversibil la ștergerea contului (art. 17)</w:t>
            </w:r>
          </w:p>
        </w:tc>
      </w:tr>
      <w:tr>
        <w:tc>
          <w:tcPr>
            <w:tcW w:type="dxa" w:w="2600"/>
            <w:tcMar>
              <w:top w:type="dxa" w:w="80"/>
              <w:left w:type="dxa" w:w="100"/>
              <w:bottom w:type="dxa" w:w="80"/>
              <w:right w:type="dxa" w:w="100"/>
            </w:tcMar>
          </w:tcPr>
          <w:p>
            <w:r>
              <w:rPr>
                <w:b w:val="false"/>
                <w:bCs w:val="false"/>
                <w:sz w:val="19"/>
                <w:szCs w:val="19"/>
              </w:rPr>
              <w:t xml:space="preserve">Date de aplicație (rețete, loturi, produse, stoc, vânzări)</w:t>
            </w:r>
          </w:p>
        </w:tc>
        <w:tc>
          <w:tcPr>
            <w:tcW w:type="dxa" w:w="2400"/>
            <w:tcMar>
              <w:top w:type="dxa" w:w="80"/>
              <w:left w:type="dxa" w:w="100"/>
              <w:bottom w:type="dxa" w:w="80"/>
              <w:right w:type="dxa" w:w="100"/>
            </w:tcMar>
          </w:tcPr>
          <w:p>
            <w:r>
              <w:rPr>
                <w:b w:val="false"/>
                <w:bCs w:val="false"/>
                <w:sz w:val="19"/>
                <w:szCs w:val="19"/>
              </w:rPr>
              <w:t xml:space="preserve">Cât timp contul e activ</w:t>
            </w:r>
          </w:p>
        </w:tc>
        <w:tc>
          <w:tcPr>
            <w:tcW w:type="dxa" w:w="4200"/>
            <w:tcMar>
              <w:top w:type="dxa" w:w="80"/>
              <w:left w:type="dxa" w:w="100"/>
              <w:bottom w:type="dxa" w:w="80"/>
              <w:right w:type="dxa" w:w="100"/>
            </w:tcMar>
          </w:tcPr>
          <w:p>
            <w:r>
              <w:rPr>
                <w:b w:val="false"/>
                <w:bCs w:val="false"/>
                <w:sz w:val="19"/>
                <w:szCs w:val="19"/>
              </w:rPr>
              <w:t xml:space="preserve">Șterse ireversibil odată cu contul (relație în cascadă în baza de date)</w:t>
            </w:r>
          </w:p>
        </w:tc>
      </w:tr>
      <w:tr>
        <w:tc>
          <w:tcPr>
            <w:tcW w:type="dxa" w:w="2600"/>
            <w:tcMar>
              <w:top w:type="dxa" w:w="80"/>
              <w:left w:type="dxa" w:w="100"/>
              <w:bottom w:type="dxa" w:w="80"/>
              <w:right w:type="dxa" w:w="100"/>
            </w:tcMar>
          </w:tcPr>
          <w:p>
            <w:r>
              <w:rPr>
                <w:b w:val="false"/>
                <w:bCs w:val="false"/>
                <w:sz w:val="19"/>
                <w:szCs w:val="19"/>
              </w:rPr>
              <w:t xml:space="preserve">Poze încărcate</w:t>
            </w:r>
          </w:p>
        </w:tc>
        <w:tc>
          <w:tcPr>
            <w:tcW w:type="dxa" w:w="2400"/>
            <w:tcMar>
              <w:top w:type="dxa" w:w="80"/>
              <w:left w:type="dxa" w:w="100"/>
              <w:bottom w:type="dxa" w:w="80"/>
              <w:right w:type="dxa" w:w="100"/>
            </w:tcMar>
          </w:tcPr>
          <w:p>
            <w:r>
              <w:rPr>
                <w:b w:val="false"/>
                <w:bCs w:val="false"/>
                <w:sz w:val="19"/>
                <w:szCs w:val="19"/>
              </w:rPr>
              <w:t xml:space="preserve">Cât timp contul e activ</w:t>
            </w:r>
          </w:p>
        </w:tc>
        <w:tc>
          <w:tcPr>
            <w:tcW w:type="dxa" w:w="4200"/>
            <w:tcMar>
              <w:top w:type="dxa" w:w="80"/>
              <w:left w:type="dxa" w:w="100"/>
              <w:bottom w:type="dxa" w:w="80"/>
              <w:right w:type="dxa" w:w="100"/>
            </w:tcMar>
          </w:tcPr>
          <w:p>
            <w:r>
              <w:rPr>
                <w:b w:val="false"/>
                <w:bCs w:val="false"/>
                <w:sz w:val="19"/>
                <w:szCs w:val="19"/>
              </w:rPr>
              <w:t xml:space="preserve">Fișierele sunt șterse de pe server la ștergerea contului</w:t>
            </w:r>
          </w:p>
        </w:tc>
      </w:tr>
      <w:tr>
        <w:tc>
          <w:tcPr>
            <w:tcW w:type="dxa" w:w="2600"/>
            <w:tcMar>
              <w:top w:type="dxa" w:w="80"/>
              <w:left w:type="dxa" w:w="100"/>
              <w:bottom w:type="dxa" w:w="80"/>
              <w:right w:type="dxa" w:w="100"/>
            </w:tcMar>
          </w:tcPr>
          <w:p>
            <w:r>
              <w:rPr>
                <w:b w:val="false"/>
                <w:bCs w:val="false"/>
                <w:sz w:val="19"/>
                <w:szCs w:val="19"/>
              </w:rPr>
              <w:t xml:space="preserve">Date de facturare (Stripe)</w:t>
            </w:r>
          </w:p>
        </w:tc>
        <w:tc>
          <w:tcPr>
            <w:tcW w:type="dxa" w:w="2400"/>
            <w:tcMar>
              <w:top w:type="dxa" w:w="80"/>
              <w:left w:type="dxa" w:w="100"/>
              <w:bottom w:type="dxa" w:w="80"/>
              <w:right w:type="dxa" w:w="100"/>
            </w:tcMar>
          </w:tcPr>
          <w:p>
            <w:r>
              <w:rPr>
                <w:b w:val="false"/>
                <w:bCs w:val="false"/>
                <w:sz w:val="19"/>
                <w:szCs w:val="19"/>
              </w:rPr>
              <w:t xml:space="preserve">[completează: conform obligației fiscale, ex. 10 ani]</w:t>
            </w:r>
          </w:p>
        </w:tc>
        <w:tc>
          <w:tcPr>
            <w:tcW w:type="dxa" w:w="4200"/>
            <w:tcMar>
              <w:top w:type="dxa" w:w="80"/>
              <w:left w:type="dxa" w:w="100"/>
              <w:bottom w:type="dxa" w:w="80"/>
              <w:right w:type="dxa" w:w="100"/>
            </w:tcMar>
          </w:tcPr>
          <w:p>
            <w:r>
              <w:rPr>
                <w:b w:val="false"/>
                <w:bCs w:val="false"/>
                <w:sz w:val="19"/>
                <w:szCs w:val="19"/>
              </w:rPr>
              <w:t>Păstrate la Stripe separat de cont, conform obligației legale de arhivare — nu sunt șterse doar pentru că utilizatorul își șterge contul din Herbatium</w:t>
            </w:r>
          </w:p>
        </w:tc>
      </w:tr>
      <w:tr>
        <w:tc>
          <w:tcPr>
            <w:tcW w:type="dxa" w:w="2600"/>
            <w:tcMar>
              <w:top w:type="dxa" w:w="80"/>
              <w:left w:type="dxa" w:w="100"/>
              <w:bottom w:type="dxa" w:w="80"/>
              <w:right w:type="dxa" w:w="100"/>
            </w:tcMar>
          </w:tcPr>
          <w:p>
            <w:r>
              <w:rPr>
                <w:b w:val="false"/>
                <w:bCs w:val="false"/>
                <w:sz w:val="19"/>
                <w:szCs w:val="19"/>
              </w:rPr>
              <w:t xml:space="preserve">Jurnale tehnice (logs)</w:t>
            </w:r>
          </w:p>
        </w:tc>
        <w:tc>
          <w:tcPr>
            <w:tcW w:type="dxa" w:w="2400"/>
            <w:tcMar>
              <w:top w:type="dxa" w:w="80"/>
              <w:left w:type="dxa" w:w="100"/>
              <w:bottom w:type="dxa" w:w="80"/>
              <w:right w:type="dxa" w:w="100"/>
            </w:tcMar>
          </w:tcPr>
          <w:p>
            <w:r>
              <w:rPr>
                <w:b w:val="false"/>
                <w:bCs w:val="false"/>
                <w:sz w:val="19"/>
                <w:szCs w:val="19"/>
              </w:rPr>
              <w:t xml:space="preserve">[completează: de regulă 30–90 de zile]</w:t>
            </w:r>
          </w:p>
        </w:tc>
        <w:tc>
          <w:tcPr>
            <w:tcW w:type="dxa" w:w="4200"/>
            <w:tcMar>
              <w:top w:type="dxa" w:w="80"/>
              <w:left w:type="dxa" w:w="100"/>
              <w:bottom w:type="dxa" w:w="80"/>
              <w:right w:type="dxa" w:w="100"/>
            </w:tcMar>
          </w:tcPr>
          <w:p>
            <w:r>
              <w:rPr>
                <w:b w:val="false"/>
                <w:bCs w:val="false"/>
                <w:sz w:val="19"/>
                <w:szCs w:val="19"/>
              </w:rPr>
              <w:t xml:space="preserve">Rotite/șterse automat de furnizorul de găzduire</w:t>
            </w:r>
          </w:p>
        </w:tc>
      </w:tr>
      <w:tr>
        <w:tc>
          <w:tcPr>
            <w:tcW w:type="dxa" w:w="2600"/>
            <w:tcMar>
              <w:top w:type="dxa" w:w="80"/>
              <w:left w:type="dxa" w:w="100"/>
              <w:bottom w:type="dxa" w:w="80"/>
              <w:right w:type="dxa" w:w="100"/>
            </w:tcMar>
          </w:tcPr>
          <w:p>
            <w:r>
              <w:rPr>
                <w:b w:val="false"/>
                <w:bCs w:val="false"/>
                <w:sz w:val="19"/>
                <w:szCs w:val="19"/>
              </w:rPr>
              <w:t xml:space="preserve">Backup-uri</w:t>
            </w:r>
          </w:p>
        </w:tc>
        <w:tc>
          <w:tcPr>
            <w:tcW w:type="dxa" w:w="2400"/>
            <w:tcMar>
              <w:top w:type="dxa" w:w="80"/>
              <w:left w:type="dxa" w:w="100"/>
              <w:bottom w:type="dxa" w:w="80"/>
              <w:right w:type="dxa" w:w="100"/>
            </w:tcMar>
          </w:tcPr>
          <w:p>
            <w:r>
              <w:rPr>
                <w:b w:val="false"/>
                <w:bCs w:val="false"/>
                <w:sz w:val="19"/>
                <w:szCs w:val="19"/>
              </w:rPr>
              <w:t xml:space="preserve">[completează: conform politicii furnizorului de găzduire]</w:t>
            </w:r>
          </w:p>
        </w:tc>
        <w:tc>
          <w:tcPr>
            <w:tcW w:type="dxa" w:w="4200"/>
            <w:tcMar>
              <w:top w:type="dxa" w:w="80"/>
              <w:left w:type="dxa" w:w="100"/>
              <w:bottom w:type="dxa" w:w="80"/>
              <w:right w:type="dxa" w:w="100"/>
            </w:tcMar>
          </w:tcPr>
          <w:p>
            <w:r>
              <w:rPr>
                <w:b w:val="false"/>
                <w:bCs w:val="false"/>
                <w:sz w:val="19"/>
                <w:szCs w:val="19"/>
              </w:rPr>
              <w:t xml:space="preserve">Un cont șters din aplicația live rămâne o vreme în copiile de siguranță istorice, până la rotația lor naturală — menționat explicit în Politica de confidențialitate</w:t>
            </w:r>
          </w:p>
        </w:tc>
      </w:tr>
    </w:tbl>
    <w:p>
      <w:r>
        <w:br w:type="page"/>
      </w:r>
    </w:p>
    <w:p>
      <w:pPr>
        <w:pStyle w:val="Heading1"/>
        <w:spacing w:after="160" w:before="360"/>
      </w:pPr>
      <w:r>
        <w:t xml:space="preserve">10. Alte obligații legale relevante la lansare</w:t>
      </w:r>
    </w:p>
    <w:p>
      <w:pPr>
        <w:pStyle w:val="Heading2"/>
        <w:spacing w:after="120" w:before="260"/>
      </w:pPr>
      <w:r>
        <w:t xml:space="preserve">Protecția consumatorului</w:t>
      </w:r>
    </w:p>
    <w:p>
      <w:pPr>
        <w:spacing w:after="140"/>
      </w:pPr>
      <w:r>
        <w:t>Ca serviciu online cu abonament plătit, Herbatium intră sub incidența OUG 34/2014 (dreptul de retragere de 14 zile pentru conținut digital, cu excepția prevăzută dacă utilizatorul renunță explicit la el pentru a începe folosirea imediată) — deja reflectat în /legal/termeni. Litigiile pot fi direcționate către ANPC (anpc.ro) și platforma SAL (reclamatiisal.anpc.ro), linkuri prezente în subsolul paginilor legale.</w:t>
      </w:r>
    </w:p>
    <w:p>
      <w:pPr>
        <w:pStyle w:val="Heading2"/>
        <w:spacing w:after="120" w:before="260"/>
      </w:pPr>
      <w:r>
        <w:t xml:space="preserve">Cookie-uri și ePrivacy</w:t>
      </w:r>
    </w:p>
    <w:p>
      <w:pPr>
        <w:spacing w:after="140"/>
      </w:pPr>
      <w:r>
        <w:t>Herbatium folosește un singur cookie, strict necesar pentru autentificare (formulator_token) — nicio urmărire de marketing sau analytics. Conform ghidurilor ePrivacy, un cookie strict necesar funcționării serviciului nu necesită banner de consimțământ, doar informare — asigurată prin /legal/cookies.</w:t>
      </w:r>
    </w:p>
    <w:p>
      <w:pPr>
        <w:pStyle w:val="Heading2"/>
        <w:spacing w:after="120" w:before="260"/>
      </w:pPr>
      <w:r>
        <w:t xml:space="preserve">Facturare (e-Factura)</w:t>
      </w:r>
    </w:p>
    <w:p>
      <w:pPr>
        <w:spacing w:after="140"/>
      </w:pPr>
      <w:r>
        <w:t>Dacă firma care operează Herbatium emite facturi către utilizatori din România și intră sub incidența obligației de raportare prin sistemul e-Factura, verifică separat conformitatea cu ANAF — acest aspect ține de facturarea proprie, nu de fluxul de date GDPR descris în acest document.</w:t>
      </w:r>
    </w:p>
    <w:p>
      <w:pPr>
        <w:pStyle w:val="Heading2"/>
        <w:spacing w:after="120" w:before="260"/>
      </w:pPr>
      <w:r>
        <w:t xml:space="preserve">Marketing prin email</w:t>
      </w:r>
    </w:p>
    <w:p>
      <w:pPr>
        <w:spacing w:after="140"/>
      </w:pPr>
      <w:r>
        <w:t xml:space="preserve">Emailurile de marketing se trimit doar către utilizatorii care au bifat explicit opțiunea (opt-in, nebifată implicit) și pot renunța oricând, cu un singur clic/bifă, din tabul „Cont &amp; confidențialitate” — conform art. 7(3) GDPR și Legii 506/2004 privind prelucrarea datelor cu caracter personal în sectorul comunicațiilor electronice.</w:t>
      </w:r>
    </w:p>
    <w:p>
      <w:pPr>
        <w:pStyle w:val="Heading2"/>
        <w:spacing w:after="120" w:before="260"/>
      </w:pPr>
      <w:r>
        <w:t xml:space="preserve">Inteligență artificială</w:t>
      </w:r>
    </w:p>
    <w:p>
      <w:pPr>
        <w:spacing w:after="140"/>
      </w:pPr>
      <w:r>
        <w:t>Herbatium nu are nicio funcționalitate bazată pe AI/algoritmi de decizie automată — Regulamentul UE privind AI (AI Act) nu se aplică în stadiul actual al aplicației.</w:t>
      </w:r>
    </w:p>
    <w:p>
      <w:pPr>
        <w:pStyle w:val="Heading2"/>
        <w:spacing w:after="120" w:before="260"/>
      </w:pPr>
      <w:r>
        <w:t xml:space="preserve">Instruirea echipei</w:t>
      </w:r>
    </w:p>
    <w:p>
      <w:pPr>
        <w:spacing w:after="140"/>
      </w:pPr>
      <w:r>
        <w:t xml:space="preserve">Dacă aplicația e operată de mai multe persoane (angajați, colaboratori), asigură-te că toți cei cu acces la datele utilizatorilor (ex. suport tehnic, administrare server) cunosc principiile de bază din secțiunea 2 și procedura de breșă din secțiunea 8.</w:t>
      </w:r>
    </w:p>
    <w:p>
      <w:r>
        <w:br w:type="page"/>
      </w:r>
    </w:p>
    <w:p>
      <w:pPr>
        <w:pStyle w:val="Heading1"/>
        <w:spacing w:after="160" w:before="360"/>
      </w:pPr>
      <w:r>
        <w:t xml:space="preserve">11. Checklist pre-lansare</w:t>
      </w:r>
    </w:p>
    <w:p>
      <w:pPr>
        <w:pStyle w:val="ListParagraph"/>
        <w:numPr>
          <w:ilvl w:val="0"/>
          <w:numId w:val="1"/>
        </w:numPr>
        <w:spacing w:after="80"/>
      </w:pPr>
      <w:r>
        <w:t xml:space="preserve">Completate toate variabilele COMPANY_* și LEGAL_VERSION din .env, cu datele reale ale firmei/PFA.</w:t>
      </w:r>
    </w:p>
    <w:p>
      <w:pPr>
        <w:pStyle w:val="ListParagraph"/>
        <w:numPr>
          <w:ilvl w:val="0"/>
          <w:numId w:val="1"/>
        </w:numPr>
        <w:spacing w:after="80"/>
      </w:pPr>
      <w:r>
        <w:t xml:space="preserve">Rulată migrarea Prisma (npx prisma migrate dev) pe baza de date de producție, pentru câmpurile de consimțământ.</w:t>
      </w:r>
    </w:p>
    <w:p>
      <w:pPr>
        <w:pStyle w:val="ListParagraph"/>
        <w:numPr>
          <w:ilvl w:val="0"/>
          <w:numId w:val="1"/>
        </w:numPr>
        <w:spacing w:after="80"/>
      </w:pPr>
      <w:r>
        <w:t xml:space="preserve">Verificate manual paginile /legal/termeni, /legal/confidentialitate, /legal/cookies, /legal/dpa — fără placeholder-e vizibile.</w:t>
      </w:r>
    </w:p>
    <w:p>
      <w:pPr>
        <w:pStyle w:val="ListParagraph"/>
        <w:numPr>
          <w:ilvl w:val="0"/>
          <w:numId w:val="1"/>
        </w:numPr>
        <w:spacing w:after="80"/>
      </w:pPr>
      <w:r>
        <w:t xml:space="preserve">Ales și documentat furnizorul de găzduire (server + bază de date) în secțiunea 6, cu DPA semnat dacă e cazul.</w:t>
      </w:r>
    </w:p>
    <w:p>
      <w:pPr>
        <w:pStyle w:val="ListParagraph"/>
        <w:numPr>
          <w:ilvl w:val="0"/>
          <w:numId w:val="1"/>
        </w:numPr>
        <w:spacing w:after="80"/>
      </w:pPr>
      <w:r>
        <w:t xml:space="preserve">Verificat DPA-ul Resend, dacă digest-ul de email e activat (RESEND_API_KEY setat).</w:t>
      </w:r>
    </w:p>
    <w:p>
      <w:pPr>
        <w:pStyle w:val="ListParagraph"/>
        <w:numPr>
          <w:ilvl w:val="0"/>
          <w:numId w:val="1"/>
        </w:numPr>
        <w:spacing w:after="80"/>
      </w:pPr>
      <w:r>
        <w:t xml:space="preserve">Testat fluxul complet: înregistrare cu bifa de Termeni obligatorie → export date din „Cont &amp; confidențialitate” → ștergere cont.</w:t>
      </w:r>
    </w:p>
    <w:p>
      <w:pPr>
        <w:pStyle w:val="ListParagraph"/>
        <w:numPr>
          <w:ilvl w:val="0"/>
          <w:numId w:val="1"/>
        </w:numPr>
        <w:spacing w:after="80"/>
      </w:pPr>
      <w:r>
        <w:t xml:space="preserve">Stabilit un responsabil real pentru adresa de email GDPR (COMPANY_GDPR_EMAIL) care va primi și răspunde la cereri.</w:t>
      </w:r>
    </w:p>
    <w:p>
      <w:pPr>
        <w:pStyle w:val="ListParagraph"/>
        <w:numPr>
          <w:ilvl w:val="0"/>
          <w:numId w:val="1"/>
        </w:numPr>
        <w:spacing w:after="80"/>
      </w:pPr>
      <w:r>
        <w:t xml:space="preserve">Setată o politică de backup și retenție a jurnalelor tehnice la furnizorul de găzduire ales (secțiunea 9).</w:t>
      </w:r>
    </w:p>
    <w:p>
      <w:pPr>
        <w:pStyle w:val="ListParagraph"/>
        <w:numPr>
          <w:ilvl w:val="0"/>
          <w:numId w:val="1"/>
        </w:numPr>
        <w:spacing w:after="80"/>
      </w:pPr>
      <w:r>
        <w:t xml:space="preserve">Acest document revizuit și actualizat cu informațiile reale, nu doar cu placeholder-e.</w:t>
      </w:r>
    </w:p>
    <w:p>
      <w:r>
        <w:br w:type="page"/>
      </w:r>
    </w:p>
    <w:p>
      <w:pPr>
        <w:pStyle w:val="Heading1"/>
        <w:spacing w:after="160" w:before="360"/>
      </w:pPr>
      <w:r>
        <w:t xml:space="preserve">12. Anexe — documente legale publice</w:t>
      </w:r>
    </w:p>
    <w:p>
      <w:pPr>
        <w:spacing w:after="140"/>
      </w:pPr>
      <w:r>
        <w:t xml:space="preserve">Documentele următoare sunt generate automat de aplicație (din src/routes/legal.js), pe baza acelorași variabile de mediu COMPANY_* — sunt accesibile public, fără autentificare:</w:t>
      </w:r>
    </w:p>
    <w:p>
      <w:pPr>
        <w:pStyle w:val="ListParagraph"/>
        <w:numPr>
          <w:ilvl w:val="0"/>
          <w:numId w:val="1"/>
        </w:numPr>
        <w:spacing w:after="80"/>
      </w:pPr>
      <w:r>
        <w:t xml:space="preserve">/legal/termeni — Termeni și condiții</w:t>
      </w:r>
    </w:p>
    <w:p>
      <w:pPr>
        <w:pStyle w:val="ListParagraph"/>
        <w:numPr>
          <w:ilvl w:val="0"/>
          <w:numId w:val="1"/>
        </w:numPr>
        <w:spacing w:after="80"/>
      </w:pPr>
      <w:r>
        <w:t xml:space="preserve">/legal/confidentialitate — Politica de confidențialitate</w:t>
      </w:r>
    </w:p>
    <w:p>
      <w:pPr>
        <w:pStyle w:val="ListParagraph"/>
        <w:numPr>
          <w:ilvl w:val="0"/>
          <w:numId w:val="1"/>
        </w:numPr>
        <w:spacing w:after="80"/>
      </w:pPr>
      <w:r>
        <w:t xml:space="preserve">/legal/cookies — Politica de cookie-uri</w:t>
      </w:r>
    </w:p>
    <w:p>
      <w:pPr>
        <w:pStyle w:val="ListParagraph"/>
        <w:numPr>
          <w:ilvl w:val="0"/>
          <w:numId w:val="1"/>
        </w:numPr>
        <w:spacing w:after="80"/>
      </w:pPr>
      <w:r>
        <w:t xml:space="preserve">/legal/dpa — Acordul de prelucrare a datelor (DPA), pentru cazul în care un utilizator introduce date ale unor terți</w:t>
      </w:r>
    </w:p>
    <w:p>
      <w:pPr>
        <w:spacing w:after="140"/>
      </w:pPr>
      <w:r>
        <w:t xml:space="preserve">Rutele GDPR pentru utilizatori (auto-servire, fără intervenție manuală):</w:t>
      </w:r>
    </w:p>
    <w:p>
      <w:pPr>
        <w:pStyle w:val="ListParagraph"/>
        <w:numPr>
          <w:ilvl w:val="0"/>
          <w:numId w:val="1"/>
        </w:numPr>
        <w:spacing w:after="80"/>
      </w:pPr>
      <w:r>
        <w:t xml:space="preserve">GET /api/account/export — descarcă toate datele contului autentificat, în JSON (art. 15, 20)</w:t>
      </w:r>
    </w:p>
    <w:p>
      <w:pPr>
        <w:pStyle w:val="ListParagraph"/>
        <w:numPr>
          <w:ilvl w:val="0"/>
          <w:numId w:val="1"/>
        </w:numPr>
        <w:spacing w:after="80"/>
      </w:pPr>
      <w:r>
        <w:t xml:space="preserve">PATCH /api/account/marketing — actualizează consimțământul de marketing (art. 7(3))</w:t>
      </w:r>
    </w:p>
    <w:p>
      <w:pPr>
        <w:pStyle w:val="ListParagraph"/>
        <w:numPr>
          <w:ilvl w:val="0"/>
          <w:numId w:val="1"/>
        </w:numPr>
        <w:spacing w:after="80"/>
      </w:pPr>
      <w:r>
        <w:t xml:space="preserve">DELETE /api/account — șterge definitiv contul, cu confirmarea parolei (art. 17)</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2F6F4E"/>
      <w:sz w:val="30"/>
      <w:szCs w:val="30"/>
    </w:rPr>
  </w:style>
  <w:style w:type="paragraph" w:styleId="Heading2">
    <w:name w:val="Heading 2"/>
    <w:basedOn w:val="Normal"/>
    <w:next w:val="Normal"/>
    <w:qFormat/>
    <w:pPr>
      <w:spacing w:after="120" w:before="240"/>
    </w:pPr>
    <w:rPr>
      <w:b/>
      <w:bCs/>
      <w:color w:val="1F3B2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2026-09-22T04:38:23.586Z</dcterms:created>
  <dcterms:modified xsi:type="dcterms:W3CDTF">2026-09-22T04:38:23.586Z</dcterms:modified>
</cp:coreProperties>
</file>

<file path=docProps/custom.xml><?xml version="1.0" encoding="utf-8"?>
<Properties xmlns="http://schemas.openxmlformats.org/officeDocument/2006/custom-properties" xmlns:vt="http://schemas.openxmlformats.org/officeDocument/2006/docPropsVTypes"/>
</file>