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58A6" w14:textId="0C2C7539" w:rsidR="006D09E4" w:rsidRPr="00EB74A7" w:rsidRDefault="006D09E4" w:rsidP="00EB74A7">
      <w:pPr>
        <w:pStyle w:val="ListParagraph"/>
        <w:numPr>
          <w:ilvl w:val="0"/>
          <w:numId w:val="1"/>
        </w:numPr>
        <w:jc w:val="both"/>
        <w:rPr>
          <w:rFonts w:ascii="Times New Roman" w:hAnsi="Times New Roman" w:cs="Times New Roman"/>
          <w:b/>
          <w:bCs/>
          <w:sz w:val="28"/>
          <w:szCs w:val="28"/>
          <w:u w:val="single"/>
        </w:rPr>
      </w:pPr>
      <w:proofErr w:type="spellStart"/>
      <w:r w:rsidRPr="00EB74A7">
        <w:rPr>
          <w:rFonts w:ascii="Times New Roman" w:hAnsi="Times New Roman" w:cs="Times New Roman"/>
          <w:b/>
          <w:bCs/>
          <w:sz w:val="28"/>
          <w:szCs w:val="28"/>
          <w:u w:val="single"/>
        </w:rPr>
        <w:t>WoE</w:t>
      </w:r>
      <w:proofErr w:type="spellEnd"/>
      <w:r w:rsidRPr="00EB74A7">
        <w:rPr>
          <w:rFonts w:ascii="Times New Roman" w:hAnsi="Times New Roman" w:cs="Times New Roman"/>
          <w:b/>
          <w:bCs/>
          <w:sz w:val="28"/>
          <w:szCs w:val="28"/>
          <w:u w:val="single"/>
        </w:rPr>
        <w:t xml:space="preserve"> (Weight of Evidence)</w:t>
      </w:r>
      <w:r w:rsidRPr="00EB74A7">
        <w:rPr>
          <w:rFonts w:ascii="Times New Roman" w:hAnsi="Times New Roman" w:cs="Times New Roman"/>
          <w:b/>
          <w:bCs/>
          <w:sz w:val="28"/>
          <w:szCs w:val="28"/>
          <w:u w:val="single"/>
        </w:rPr>
        <w:t xml:space="preserve"> vs. IV</w:t>
      </w:r>
      <w:r w:rsidRPr="00EB74A7">
        <w:rPr>
          <w:rFonts w:ascii="Times New Roman" w:hAnsi="Times New Roman" w:cs="Times New Roman"/>
          <w:b/>
          <w:bCs/>
          <w:sz w:val="28"/>
          <w:szCs w:val="28"/>
          <w:u w:val="single"/>
        </w:rPr>
        <w:t xml:space="preserve"> (Information Value)</w:t>
      </w:r>
    </w:p>
    <w:p w14:paraId="746EC83F" w14:textId="77777777" w:rsidR="006D09E4" w:rsidRPr="00EB74A7" w:rsidRDefault="006D09E4" w:rsidP="00EB74A7">
      <w:pPr>
        <w:jc w:val="both"/>
        <w:rPr>
          <w:rFonts w:ascii="Times New Roman" w:hAnsi="Times New Roman" w:cs="Times New Roman"/>
        </w:rPr>
      </w:pPr>
    </w:p>
    <w:p w14:paraId="3002C2BF" w14:textId="6F3EE5A4" w:rsidR="006D09E4" w:rsidRPr="00EB74A7" w:rsidRDefault="006D09E4" w:rsidP="00EB74A7">
      <w:pPr>
        <w:jc w:val="both"/>
        <w:rPr>
          <w:rFonts w:ascii="Times New Roman" w:hAnsi="Times New Roman" w:cs="Times New Roman"/>
          <w:sz w:val="20"/>
          <w:szCs w:val="20"/>
        </w:rPr>
      </w:pPr>
      <w:proofErr w:type="spellStart"/>
      <w:r w:rsidRPr="00EB74A7">
        <w:rPr>
          <w:rFonts w:ascii="Times New Roman" w:hAnsi="Times New Roman" w:cs="Times New Roman"/>
          <w:b/>
          <w:bCs/>
          <w:sz w:val="20"/>
          <w:szCs w:val="20"/>
        </w:rPr>
        <w:t>WoE</w:t>
      </w:r>
      <w:proofErr w:type="spellEnd"/>
      <w:r w:rsidRPr="00EB74A7">
        <w:rPr>
          <w:rFonts w:ascii="Times New Roman" w:hAnsi="Times New Roman" w:cs="Times New Roman"/>
          <w:b/>
          <w:bCs/>
          <w:sz w:val="20"/>
          <w:szCs w:val="20"/>
        </w:rPr>
        <w:t xml:space="preserve"> (Weight of Evidence)</w:t>
      </w:r>
      <w:r w:rsidRPr="00EB74A7">
        <w:rPr>
          <w:rFonts w:ascii="Times New Roman" w:hAnsi="Times New Roman" w:cs="Times New Roman"/>
          <w:sz w:val="20"/>
          <w:szCs w:val="20"/>
        </w:rPr>
        <w:t xml:space="preserve"> and </w:t>
      </w:r>
      <w:r w:rsidRPr="00EB74A7">
        <w:rPr>
          <w:rFonts w:ascii="Times New Roman" w:hAnsi="Times New Roman" w:cs="Times New Roman"/>
          <w:b/>
          <w:bCs/>
          <w:sz w:val="20"/>
          <w:szCs w:val="20"/>
        </w:rPr>
        <w:t>IV (Information Value)</w:t>
      </w:r>
      <w:r w:rsidRPr="00EB74A7">
        <w:rPr>
          <w:rFonts w:ascii="Times New Roman" w:hAnsi="Times New Roman" w:cs="Times New Roman"/>
          <w:sz w:val="20"/>
          <w:szCs w:val="20"/>
        </w:rPr>
        <w:t xml:space="preserve"> are two closely related concepts used in credit scoring, risk </w:t>
      </w:r>
      <w:proofErr w:type="spellStart"/>
      <w:r w:rsidRPr="00EB74A7">
        <w:rPr>
          <w:rFonts w:ascii="Times New Roman" w:hAnsi="Times New Roman" w:cs="Times New Roman"/>
          <w:sz w:val="20"/>
          <w:szCs w:val="20"/>
        </w:rPr>
        <w:t>modeling</w:t>
      </w:r>
      <w:proofErr w:type="spellEnd"/>
      <w:r w:rsidRPr="00EB74A7">
        <w:rPr>
          <w:rFonts w:ascii="Times New Roman" w:hAnsi="Times New Roman" w:cs="Times New Roman"/>
          <w:sz w:val="20"/>
          <w:szCs w:val="20"/>
        </w:rPr>
        <w:t>, and data analytics to evaluate the predictive power of variables or features. They are typically used to assess the strength of the relationship between a categorical or continuous variable and the binary target variable (e.g., "good" or "bad" credit risk).</w:t>
      </w:r>
    </w:p>
    <w:p w14:paraId="191F39A7" w14:textId="6D532B60" w:rsidR="006D09E4" w:rsidRPr="00EB74A7" w:rsidRDefault="006D09E4" w:rsidP="00EB74A7">
      <w:pPr>
        <w:pStyle w:val="ListParagraph"/>
        <w:numPr>
          <w:ilvl w:val="0"/>
          <w:numId w:val="2"/>
        </w:numPr>
        <w:jc w:val="both"/>
        <w:rPr>
          <w:rFonts w:ascii="Times New Roman" w:hAnsi="Times New Roman" w:cs="Times New Roman"/>
          <w:sz w:val="20"/>
          <w:szCs w:val="20"/>
        </w:rPr>
      </w:pPr>
      <w:r w:rsidRPr="00EB74A7">
        <w:rPr>
          <w:rFonts w:ascii="Times New Roman" w:hAnsi="Times New Roman" w:cs="Times New Roman"/>
          <w:b/>
          <w:bCs/>
          <w:sz w:val="20"/>
          <w:szCs w:val="20"/>
        </w:rPr>
        <w:t>Weight of Evidence (</w:t>
      </w:r>
      <w:proofErr w:type="spellStart"/>
      <w:r w:rsidRPr="00EB74A7">
        <w:rPr>
          <w:rFonts w:ascii="Times New Roman" w:hAnsi="Times New Roman" w:cs="Times New Roman"/>
          <w:b/>
          <w:bCs/>
          <w:sz w:val="20"/>
          <w:szCs w:val="20"/>
        </w:rPr>
        <w:t>WoE</w:t>
      </w:r>
      <w:proofErr w:type="spellEnd"/>
      <w:r w:rsidRPr="00EB74A7">
        <w:rPr>
          <w:rFonts w:ascii="Times New Roman" w:hAnsi="Times New Roman" w:cs="Times New Roman"/>
          <w:b/>
          <w:bCs/>
          <w:sz w:val="20"/>
          <w:szCs w:val="20"/>
        </w:rPr>
        <w:t>)</w:t>
      </w:r>
      <w:r w:rsidRPr="00EB74A7">
        <w:rPr>
          <w:rFonts w:ascii="Times New Roman" w:hAnsi="Times New Roman" w:cs="Times New Roman"/>
          <w:sz w:val="20"/>
          <w:szCs w:val="20"/>
        </w:rPr>
        <w:t xml:space="preserve"> measures the </w:t>
      </w:r>
      <w:r w:rsidRPr="00EB74A7">
        <w:rPr>
          <w:rFonts w:ascii="Times New Roman" w:hAnsi="Times New Roman" w:cs="Times New Roman"/>
          <w:b/>
          <w:bCs/>
          <w:sz w:val="20"/>
          <w:szCs w:val="20"/>
        </w:rPr>
        <w:t>strength of the relationship</w:t>
      </w:r>
      <w:r w:rsidRPr="00EB74A7">
        <w:rPr>
          <w:rFonts w:ascii="Times New Roman" w:hAnsi="Times New Roman" w:cs="Times New Roman"/>
          <w:sz w:val="20"/>
          <w:szCs w:val="20"/>
        </w:rPr>
        <w:t xml:space="preserve"> between a particular category or bin of a variable and the odds of the event occurring. It is calculated as the natural logarithm of the ratio of the proportion of events (e.g., good credit) to the proportion of non-events (e.g., bad credit) in that category.</w:t>
      </w:r>
    </w:p>
    <w:p w14:paraId="5DF376EF" w14:textId="77777777" w:rsidR="006D09E4" w:rsidRPr="00EB74A7" w:rsidRDefault="006D09E4" w:rsidP="00EB74A7">
      <w:pPr>
        <w:pStyle w:val="ListParagraph"/>
        <w:numPr>
          <w:ilvl w:val="0"/>
          <w:numId w:val="2"/>
        </w:numPr>
        <w:jc w:val="both"/>
        <w:rPr>
          <w:rFonts w:ascii="Times New Roman" w:hAnsi="Times New Roman" w:cs="Times New Roman"/>
          <w:sz w:val="20"/>
          <w:szCs w:val="20"/>
        </w:rPr>
      </w:pPr>
      <w:r w:rsidRPr="00EB74A7">
        <w:rPr>
          <w:rFonts w:ascii="Times New Roman" w:hAnsi="Times New Roman" w:cs="Times New Roman"/>
          <w:b/>
          <w:bCs/>
          <w:sz w:val="20"/>
          <w:szCs w:val="20"/>
        </w:rPr>
        <w:t>Information Value (IV)</w:t>
      </w:r>
      <w:r w:rsidRPr="00EB74A7">
        <w:rPr>
          <w:rFonts w:ascii="Times New Roman" w:hAnsi="Times New Roman" w:cs="Times New Roman"/>
          <w:sz w:val="20"/>
          <w:szCs w:val="20"/>
        </w:rPr>
        <w:t xml:space="preserve"> is a measure of the overall predictive power of a variable. It is calculated by summing up the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-based contributions for all categories of a variable. A high IV indicates a strong predictor, while a low IV suggests that the variable is less informative.</w:t>
      </w:r>
    </w:p>
    <w:p w14:paraId="6026A2A9" w14:textId="77777777" w:rsidR="006D09E4" w:rsidRPr="00EB74A7" w:rsidRDefault="006D09E4" w:rsidP="00EB74A7">
      <w:pPr>
        <w:jc w:val="both"/>
        <w:rPr>
          <w:rFonts w:ascii="Times New Roman" w:hAnsi="Times New Roman" w:cs="Times New Roman"/>
          <w:sz w:val="28"/>
          <w:szCs w:val="28"/>
        </w:rPr>
      </w:pPr>
    </w:p>
    <w:p w14:paraId="0942E46A" w14:textId="2AB3EBD3" w:rsidR="006D09E4" w:rsidRPr="00EB74A7" w:rsidRDefault="006D09E4" w:rsidP="00EB74A7">
      <w:pPr>
        <w:jc w:val="both"/>
        <w:rPr>
          <w:rFonts w:ascii="Times New Roman" w:hAnsi="Times New Roman" w:cs="Times New Roman"/>
          <w:b/>
          <w:bCs/>
          <w:sz w:val="28"/>
          <w:szCs w:val="28"/>
          <w:u w:val="single"/>
        </w:rPr>
      </w:pPr>
      <w:r w:rsidRPr="00EB74A7">
        <w:rPr>
          <w:rFonts w:ascii="Times New Roman" w:hAnsi="Times New Roman" w:cs="Times New Roman"/>
          <w:b/>
          <w:bCs/>
          <w:sz w:val="28"/>
          <w:szCs w:val="28"/>
          <w:u w:val="single"/>
        </w:rPr>
        <w:t>Significance:</w:t>
      </w:r>
    </w:p>
    <w:p w14:paraId="66416D47" w14:textId="536AD17F" w:rsidR="006D09E4" w:rsidRPr="00EB74A7" w:rsidRDefault="006D09E4" w:rsidP="00EB74A7">
      <w:pPr>
        <w:jc w:val="both"/>
        <w:rPr>
          <w:rFonts w:ascii="Times New Roman" w:hAnsi="Times New Roman" w:cs="Times New Roman"/>
          <w:sz w:val="20"/>
          <w:szCs w:val="20"/>
        </w:rPr>
      </w:pPr>
      <w:r w:rsidRPr="00EB74A7">
        <w:rPr>
          <w:rFonts w:ascii="Times New Roman" w:hAnsi="Times New Roman" w:cs="Times New Roman"/>
          <w:sz w:val="20"/>
          <w:szCs w:val="20"/>
        </w:rPr>
        <w:t xml:space="preserve">In the context of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 xml:space="preserve"> and IV, significance refers to the importance or strength of a variable in predicting the outcome of interest (e.g., credit risk). It helps identify which variables are the most influential in predicting the target variable. Variables with higher IV values are considered more significant in the model</w:t>
      </w:r>
      <w:r w:rsidRPr="00EB74A7">
        <w:rPr>
          <w:rFonts w:ascii="Times New Roman" w:hAnsi="Times New Roman" w:cs="Times New Roman"/>
          <w:sz w:val="20"/>
          <w:szCs w:val="20"/>
        </w:rPr>
        <w:t>l</w:t>
      </w:r>
      <w:r w:rsidRPr="00EB74A7">
        <w:rPr>
          <w:rFonts w:ascii="Times New Roman" w:hAnsi="Times New Roman" w:cs="Times New Roman"/>
          <w:sz w:val="20"/>
          <w:szCs w:val="20"/>
        </w:rPr>
        <w:t>ing process.</w:t>
      </w:r>
    </w:p>
    <w:p w14:paraId="7CD0AD8C" w14:textId="77777777" w:rsidR="006D09E4" w:rsidRPr="00EB74A7" w:rsidRDefault="006D09E4" w:rsidP="00EB74A7">
      <w:pPr>
        <w:jc w:val="both"/>
        <w:rPr>
          <w:rFonts w:ascii="Times New Roman" w:hAnsi="Times New Roman" w:cs="Times New Roman"/>
        </w:rPr>
      </w:pPr>
    </w:p>
    <w:p w14:paraId="770A3486" w14:textId="77777777" w:rsidR="006D09E4" w:rsidRPr="00EB74A7" w:rsidRDefault="006D09E4" w:rsidP="00EB74A7">
      <w:pPr>
        <w:jc w:val="both"/>
        <w:rPr>
          <w:rFonts w:ascii="Times New Roman" w:hAnsi="Times New Roman" w:cs="Times New Roman"/>
          <w:b/>
          <w:bCs/>
          <w:u w:val="single"/>
        </w:rPr>
      </w:pPr>
      <w:r w:rsidRPr="00EB74A7">
        <w:rPr>
          <w:rFonts w:ascii="Times New Roman" w:hAnsi="Times New Roman" w:cs="Times New Roman"/>
          <w:b/>
          <w:bCs/>
          <w:u w:val="single"/>
        </w:rPr>
        <w:t>Case Studies/Use Cases:</w:t>
      </w:r>
    </w:p>
    <w:p w14:paraId="6E881D89" w14:textId="6C9ED0D6" w:rsidR="006D09E4" w:rsidRPr="00EB74A7" w:rsidRDefault="006D09E4" w:rsidP="00EB74A7">
      <w:pPr>
        <w:pStyle w:val="ListParagraph"/>
        <w:numPr>
          <w:ilvl w:val="0"/>
          <w:numId w:val="3"/>
        </w:numPr>
        <w:jc w:val="both"/>
        <w:rPr>
          <w:rFonts w:ascii="Times New Roman" w:hAnsi="Times New Roman" w:cs="Times New Roman"/>
          <w:sz w:val="20"/>
          <w:szCs w:val="20"/>
        </w:rPr>
      </w:pPr>
      <w:r w:rsidRPr="00EB74A7">
        <w:rPr>
          <w:rFonts w:ascii="Times New Roman" w:hAnsi="Times New Roman" w:cs="Times New Roman"/>
          <w:b/>
          <w:bCs/>
          <w:sz w:val="20"/>
          <w:szCs w:val="20"/>
        </w:rPr>
        <w:t>Credit Scoring</w:t>
      </w:r>
      <w:r w:rsidRPr="00EB74A7">
        <w:rPr>
          <w:rFonts w:ascii="Times New Roman" w:hAnsi="Times New Roman" w:cs="Times New Roman"/>
          <w:sz w:val="20"/>
          <w:szCs w:val="20"/>
        </w:rPr>
        <w:t xml:space="preserve">: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 xml:space="preserve"> and IV are commonly used in credit scoring models to assess the importance of various factors (e.g., income, age, credit history) in predicting the likelihood of a borrower defaulting on a loan.</w:t>
      </w:r>
    </w:p>
    <w:p w14:paraId="591C78ED" w14:textId="23BEA10C" w:rsidR="006D09E4" w:rsidRPr="00EB74A7" w:rsidRDefault="006D09E4" w:rsidP="00EB74A7">
      <w:pPr>
        <w:pStyle w:val="ListParagraph"/>
        <w:numPr>
          <w:ilvl w:val="0"/>
          <w:numId w:val="3"/>
        </w:numPr>
        <w:jc w:val="both"/>
        <w:rPr>
          <w:rFonts w:ascii="Times New Roman" w:hAnsi="Times New Roman" w:cs="Times New Roman"/>
          <w:sz w:val="20"/>
          <w:szCs w:val="20"/>
        </w:rPr>
      </w:pPr>
      <w:r w:rsidRPr="00EB74A7">
        <w:rPr>
          <w:rFonts w:ascii="Times New Roman" w:hAnsi="Times New Roman" w:cs="Times New Roman"/>
          <w:b/>
          <w:bCs/>
          <w:sz w:val="20"/>
          <w:szCs w:val="20"/>
        </w:rPr>
        <w:t>Marketing Analytics</w:t>
      </w:r>
      <w:r w:rsidRPr="00EB74A7">
        <w:rPr>
          <w:rFonts w:ascii="Times New Roman" w:hAnsi="Times New Roman" w:cs="Times New Roman"/>
          <w:sz w:val="20"/>
          <w:szCs w:val="20"/>
        </w:rPr>
        <w:t xml:space="preserve">: Marketers use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 xml:space="preserve"> and IV to evaluate the effectiveness of different marketing channels, customer segments, or product features in driving desired customer actions (e.g., making a purchase).</w:t>
      </w:r>
    </w:p>
    <w:p w14:paraId="31DE17AF" w14:textId="63351436" w:rsidR="006D09E4" w:rsidRPr="00EB74A7" w:rsidRDefault="006D09E4" w:rsidP="00EB74A7">
      <w:pPr>
        <w:pStyle w:val="ListParagraph"/>
        <w:numPr>
          <w:ilvl w:val="0"/>
          <w:numId w:val="3"/>
        </w:numPr>
        <w:jc w:val="both"/>
        <w:rPr>
          <w:rFonts w:ascii="Times New Roman" w:hAnsi="Times New Roman" w:cs="Times New Roman"/>
          <w:sz w:val="20"/>
          <w:szCs w:val="20"/>
        </w:rPr>
      </w:pPr>
      <w:r w:rsidRPr="00EB74A7">
        <w:rPr>
          <w:rFonts w:ascii="Times New Roman" w:hAnsi="Times New Roman" w:cs="Times New Roman"/>
          <w:b/>
          <w:bCs/>
          <w:sz w:val="20"/>
          <w:szCs w:val="20"/>
        </w:rPr>
        <w:t>Fraud Detection</w:t>
      </w:r>
      <w:r w:rsidRPr="00EB74A7">
        <w:rPr>
          <w:rFonts w:ascii="Times New Roman" w:hAnsi="Times New Roman" w:cs="Times New Roman"/>
          <w:sz w:val="20"/>
          <w:szCs w:val="20"/>
        </w:rPr>
        <w:t xml:space="preserve">: In fraud detection models,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 xml:space="preserve"> and IV can help identify suspicious patterns or </w:t>
      </w:r>
      <w:proofErr w:type="spellStart"/>
      <w:r w:rsidRPr="00EB74A7">
        <w:rPr>
          <w:rFonts w:ascii="Times New Roman" w:hAnsi="Times New Roman" w:cs="Times New Roman"/>
          <w:sz w:val="20"/>
          <w:szCs w:val="20"/>
        </w:rPr>
        <w:t>behaviors</w:t>
      </w:r>
      <w:proofErr w:type="spellEnd"/>
      <w:r w:rsidRPr="00EB74A7">
        <w:rPr>
          <w:rFonts w:ascii="Times New Roman" w:hAnsi="Times New Roman" w:cs="Times New Roman"/>
          <w:sz w:val="20"/>
          <w:szCs w:val="20"/>
        </w:rPr>
        <w:t xml:space="preserve"> that indicate </w:t>
      </w:r>
      <w:proofErr w:type="gramStart"/>
      <w:r w:rsidRPr="00EB74A7">
        <w:rPr>
          <w:rFonts w:ascii="Times New Roman" w:hAnsi="Times New Roman" w:cs="Times New Roman"/>
          <w:sz w:val="20"/>
          <w:szCs w:val="20"/>
        </w:rPr>
        <w:t>potential</w:t>
      </w:r>
      <w:proofErr w:type="gramEnd"/>
      <w:r w:rsidRPr="00EB74A7">
        <w:rPr>
          <w:rFonts w:ascii="Times New Roman" w:hAnsi="Times New Roman" w:cs="Times New Roman"/>
          <w:sz w:val="20"/>
          <w:szCs w:val="20"/>
        </w:rPr>
        <w:t xml:space="preserve"> fraudulent activity.</w:t>
      </w:r>
    </w:p>
    <w:p w14:paraId="088217F7" w14:textId="06554711" w:rsidR="006D09E4" w:rsidRPr="00EB74A7" w:rsidRDefault="006D09E4" w:rsidP="00EB74A7">
      <w:pPr>
        <w:pStyle w:val="ListParagraph"/>
        <w:numPr>
          <w:ilvl w:val="0"/>
          <w:numId w:val="3"/>
        </w:numPr>
        <w:jc w:val="both"/>
        <w:rPr>
          <w:rFonts w:ascii="Times New Roman" w:hAnsi="Times New Roman" w:cs="Times New Roman"/>
          <w:sz w:val="20"/>
          <w:szCs w:val="20"/>
        </w:rPr>
      </w:pPr>
      <w:r w:rsidRPr="00EB74A7">
        <w:rPr>
          <w:rFonts w:ascii="Times New Roman" w:hAnsi="Times New Roman" w:cs="Times New Roman"/>
          <w:b/>
          <w:bCs/>
          <w:sz w:val="20"/>
          <w:szCs w:val="20"/>
        </w:rPr>
        <w:t>Customer Churn Prediction</w:t>
      </w:r>
      <w:r w:rsidRPr="00EB74A7">
        <w:rPr>
          <w:rFonts w:ascii="Times New Roman" w:hAnsi="Times New Roman" w:cs="Times New Roman"/>
          <w:sz w:val="20"/>
          <w:szCs w:val="20"/>
        </w:rPr>
        <w:t xml:space="preserve">: In the telecommunications and subscription-based service industries,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 xml:space="preserve"> and IV can be used to understand the significance of various customer attributes in predicting churn.</w:t>
      </w:r>
    </w:p>
    <w:p w14:paraId="01DE12CF" w14:textId="77777777" w:rsidR="006D09E4" w:rsidRPr="00EB74A7" w:rsidRDefault="006D09E4" w:rsidP="00EB74A7">
      <w:pPr>
        <w:pStyle w:val="ListParagraph"/>
        <w:numPr>
          <w:ilvl w:val="0"/>
          <w:numId w:val="3"/>
        </w:numPr>
        <w:jc w:val="both"/>
        <w:rPr>
          <w:rFonts w:ascii="Times New Roman" w:hAnsi="Times New Roman" w:cs="Times New Roman"/>
          <w:sz w:val="20"/>
          <w:szCs w:val="20"/>
        </w:rPr>
      </w:pPr>
      <w:r w:rsidRPr="00EB74A7">
        <w:rPr>
          <w:rFonts w:ascii="Times New Roman" w:hAnsi="Times New Roman" w:cs="Times New Roman"/>
          <w:b/>
          <w:bCs/>
          <w:sz w:val="20"/>
          <w:szCs w:val="20"/>
        </w:rPr>
        <w:t xml:space="preserve">Healthcare Predictive </w:t>
      </w:r>
      <w:proofErr w:type="spellStart"/>
      <w:r w:rsidRPr="00EB74A7">
        <w:rPr>
          <w:rFonts w:ascii="Times New Roman" w:hAnsi="Times New Roman" w:cs="Times New Roman"/>
          <w:b/>
          <w:bCs/>
          <w:sz w:val="20"/>
          <w:szCs w:val="20"/>
        </w:rPr>
        <w:t>Modeling</w:t>
      </w:r>
      <w:proofErr w:type="spellEnd"/>
      <w:r w:rsidRPr="00EB74A7">
        <w:rPr>
          <w:rFonts w:ascii="Times New Roman" w:hAnsi="Times New Roman" w:cs="Times New Roman"/>
          <w:sz w:val="20"/>
          <w:szCs w:val="20"/>
        </w:rPr>
        <w:t xml:space="preserve">: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 xml:space="preserve"> and IV can also be applied to healthcare data to assess the importance of various factors in predicting patient outcomes, such as disease risk or readmission rates.</w:t>
      </w:r>
    </w:p>
    <w:p w14:paraId="7090CB97" w14:textId="77777777" w:rsidR="006D09E4" w:rsidRPr="00EB74A7" w:rsidRDefault="006D09E4" w:rsidP="00EB74A7">
      <w:pPr>
        <w:jc w:val="both"/>
        <w:rPr>
          <w:rFonts w:ascii="Times New Roman" w:hAnsi="Times New Roman" w:cs="Times New Roman"/>
        </w:rPr>
      </w:pPr>
    </w:p>
    <w:p w14:paraId="5160489D" w14:textId="77777777" w:rsidR="006D09E4" w:rsidRPr="00EB74A7" w:rsidRDefault="006D09E4" w:rsidP="00EB74A7">
      <w:pPr>
        <w:jc w:val="both"/>
        <w:rPr>
          <w:rFonts w:ascii="Times New Roman" w:hAnsi="Times New Roman" w:cs="Times New Roman"/>
          <w:b/>
          <w:bCs/>
          <w:sz w:val="28"/>
          <w:szCs w:val="28"/>
          <w:u w:val="single"/>
        </w:rPr>
      </w:pPr>
      <w:r w:rsidRPr="00EB74A7">
        <w:rPr>
          <w:rFonts w:ascii="Times New Roman" w:hAnsi="Times New Roman" w:cs="Times New Roman"/>
          <w:b/>
          <w:bCs/>
          <w:sz w:val="28"/>
          <w:szCs w:val="28"/>
          <w:u w:val="single"/>
        </w:rPr>
        <w:t>Example:</w:t>
      </w:r>
    </w:p>
    <w:p w14:paraId="118DB238" w14:textId="7DDF5EEE" w:rsidR="006D09E4" w:rsidRPr="00EB74A7" w:rsidRDefault="006D09E4" w:rsidP="00EB74A7">
      <w:pPr>
        <w:jc w:val="both"/>
        <w:rPr>
          <w:rFonts w:ascii="Times New Roman" w:hAnsi="Times New Roman" w:cs="Times New Roman"/>
          <w:sz w:val="20"/>
          <w:szCs w:val="20"/>
        </w:rPr>
      </w:pPr>
      <w:r w:rsidRPr="00EB74A7">
        <w:rPr>
          <w:rFonts w:ascii="Times New Roman" w:hAnsi="Times New Roman" w:cs="Times New Roman"/>
          <w:sz w:val="20"/>
          <w:szCs w:val="20"/>
        </w:rPr>
        <w:t xml:space="preserve">Let's consider a </w:t>
      </w:r>
      <w:r w:rsidRPr="00EB74A7">
        <w:rPr>
          <w:rFonts w:ascii="Times New Roman" w:hAnsi="Times New Roman" w:cs="Times New Roman"/>
          <w:b/>
          <w:bCs/>
          <w:sz w:val="20"/>
          <w:szCs w:val="20"/>
        </w:rPr>
        <w:t>credit scoring</w:t>
      </w:r>
      <w:r w:rsidRPr="00EB74A7">
        <w:rPr>
          <w:rFonts w:ascii="Times New Roman" w:hAnsi="Times New Roman" w:cs="Times New Roman"/>
          <w:sz w:val="20"/>
          <w:szCs w:val="20"/>
        </w:rPr>
        <w:t xml:space="preserve"> example. Suppose you are building a credit risk model, and one of the variables you're </w:t>
      </w:r>
      <w:proofErr w:type="spellStart"/>
      <w:r w:rsidRPr="00EB74A7">
        <w:rPr>
          <w:rFonts w:ascii="Times New Roman" w:hAnsi="Times New Roman" w:cs="Times New Roman"/>
          <w:sz w:val="20"/>
          <w:szCs w:val="20"/>
        </w:rPr>
        <w:t>analyzing</w:t>
      </w:r>
      <w:proofErr w:type="spellEnd"/>
      <w:r w:rsidRPr="00EB74A7">
        <w:rPr>
          <w:rFonts w:ascii="Times New Roman" w:hAnsi="Times New Roman" w:cs="Times New Roman"/>
          <w:sz w:val="20"/>
          <w:szCs w:val="20"/>
        </w:rPr>
        <w:t xml:space="preserve"> is "credit utilization ratio," which measures how much of a person's available credit they have used. You calculate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 xml:space="preserve"> and IV for this variable:</w:t>
      </w:r>
    </w:p>
    <w:p w14:paraId="03FACFE9" w14:textId="77777777" w:rsidR="006D09E4" w:rsidRPr="00EB74A7" w:rsidRDefault="006D09E4" w:rsidP="00EB74A7">
      <w:pPr>
        <w:jc w:val="both"/>
        <w:rPr>
          <w:rFonts w:ascii="Times New Roman" w:hAnsi="Times New Roman" w:cs="Times New Roman"/>
          <w:sz w:val="20"/>
          <w:szCs w:val="20"/>
        </w:rPr>
      </w:pPr>
      <w:r w:rsidRPr="00EB74A7">
        <w:rPr>
          <w:rFonts w:ascii="Times New Roman" w:hAnsi="Times New Roman" w:cs="Times New Roman"/>
          <w:sz w:val="20"/>
          <w:szCs w:val="20"/>
        </w:rPr>
        <w:t>You divide the data into categories (bins) based on the credit utilization ratio (e.g., &lt;10%, 10-30%, 30-50%, &gt;50%).</w:t>
      </w:r>
    </w:p>
    <w:p w14:paraId="4806CEA6" w14:textId="77777777" w:rsidR="006D09E4" w:rsidRPr="00EB74A7" w:rsidRDefault="006D09E4" w:rsidP="00EB74A7">
      <w:pPr>
        <w:jc w:val="both"/>
        <w:rPr>
          <w:rFonts w:ascii="Times New Roman" w:hAnsi="Times New Roman" w:cs="Times New Roman"/>
          <w:sz w:val="20"/>
          <w:szCs w:val="20"/>
        </w:rPr>
      </w:pPr>
      <w:r w:rsidRPr="00EB74A7">
        <w:rPr>
          <w:rFonts w:ascii="Times New Roman" w:hAnsi="Times New Roman" w:cs="Times New Roman"/>
          <w:sz w:val="20"/>
          <w:szCs w:val="20"/>
        </w:rPr>
        <w:t>For each category, you calculate the proportion of good credit accounts (events) and bad credit accounts (non-events).</w:t>
      </w:r>
    </w:p>
    <w:p w14:paraId="48328833" w14:textId="77777777" w:rsidR="006D09E4" w:rsidRPr="00EB74A7" w:rsidRDefault="006D09E4" w:rsidP="00EB74A7">
      <w:pPr>
        <w:jc w:val="both"/>
        <w:rPr>
          <w:rFonts w:ascii="Times New Roman" w:hAnsi="Times New Roman" w:cs="Times New Roman"/>
          <w:sz w:val="20"/>
          <w:szCs w:val="20"/>
        </w:rPr>
      </w:pPr>
      <w:r w:rsidRPr="00EB74A7">
        <w:rPr>
          <w:rFonts w:ascii="Times New Roman" w:hAnsi="Times New Roman" w:cs="Times New Roman"/>
          <w:sz w:val="20"/>
          <w:szCs w:val="20"/>
        </w:rPr>
        <w:lastRenderedPageBreak/>
        <w:t xml:space="preserve">You compute the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 xml:space="preserve"> by taking the </w:t>
      </w:r>
      <w:r w:rsidRPr="00EB74A7">
        <w:rPr>
          <w:rFonts w:ascii="Times New Roman" w:hAnsi="Times New Roman" w:cs="Times New Roman"/>
          <w:b/>
          <w:bCs/>
          <w:sz w:val="20"/>
          <w:szCs w:val="20"/>
        </w:rPr>
        <w:t>natural logarithm</w:t>
      </w:r>
      <w:r w:rsidRPr="00EB74A7">
        <w:rPr>
          <w:rFonts w:ascii="Times New Roman" w:hAnsi="Times New Roman" w:cs="Times New Roman"/>
          <w:sz w:val="20"/>
          <w:szCs w:val="20"/>
        </w:rPr>
        <w:t xml:space="preserve"> of the ratio of event proportion to non-event proportion for each category.</w:t>
      </w:r>
    </w:p>
    <w:p w14:paraId="1432D75F" w14:textId="43A5B693" w:rsidR="006D09E4" w:rsidRPr="00EB74A7" w:rsidRDefault="00EB74A7" w:rsidP="00EB74A7">
      <w:pPr>
        <w:jc w:val="both"/>
        <w:rPr>
          <w:rFonts w:ascii="Times New Roman" w:hAnsi="Times New Roman" w:cs="Times New Roman"/>
        </w:rPr>
      </w:pPr>
      <w:r w:rsidRPr="00EB74A7">
        <w:rPr>
          <w:rFonts w:ascii="Times New Roman" w:hAnsi="Times New Roman" w:cs="Times New Roman"/>
          <w:noProof/>
        </w:rPr>
        <w:drawing>
          <wp:inline distT="0" distB="0" distL="0" distR="0" wp14:anchorId="6D560265" wp14:editId="1FC1ECA1">
            <wp:extent cx="5731510" cy="2247900"/>
            <wp:effectExtent l="0" t="0" r="2540" b="0"/>
            <wp:docPr id="1262308118" name="Picture 1" descr="Understand Weight of Evidence and Information Valu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Weight of Evidence and Information Value! - Analytics Vidh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1EE3F713" w14:textId="11C1A85C" w:rsidR="00EB74A7" w:rsidRPr="00EB74A7" w:rsidRDefault="00EB74A7" w:rsidP="00EB74A7">
      <w:pPr>
        <w:jc w:val="both"/>
        <w:rPr>
          <w:rFonts w:ascii="Times New Roman" w:hAnsi="Times New Roman" w:cs="Times New Roman"/>
        </w:rPr>
      </w:pPr>
      <w:r w:rsidRPr="00EB74A7">
        <w:rPr>
          <w:rFonts w:ascii="Times New Roman" w:hAnsi="Times New Roman" w:cs="Times New Roman"/>
          <w:noProof/>
        </w:rPr>
        <w:drawing>
          <wp:anchor distT="0" distB="0" distL="114300" distR="114300" simplePos="0" relativeHeight="251658240" behindDoc="0" locked="0" layoutInCell="1" allowOverlap="1" wp14:anchorId="74C2C99A" wp14:editId="4D649E26">
            <wp:simplePos x="0" y="0"/>
            <wp:positionH relativeFrom="margin">
              <wp:align>center</wp:align>
            </wp:positionH>
            <wp:positionV relativeFrom="paragraph">
              <wp:posOffset>220857</wp:posOffset>
            </wp:positionV>
            <wp:extent cx="3811270" cy="731520"/>
            <wp:effectExtent l="0" t="0" r="0" b="0"/>
            <wp:wrapThrough wrapText="bothSides">
              <wp:wrapPolygon edited="0">
                <wp:start x="0" y="0"/>
                <wp:lineTo x="0" y="20813"/>
                <wp:lineTo x="21485" y="20813"/>
                <wp:lineTo x="21485" y="0"/>
                <wp:lineTo x="0" y="0"/>
              </wp:wrapPolygon>
            </wp:wrapThrough>
            <wp:docPr id="1546924411" name="Picture 2" descr="Churn Analysis Using Information Value and Weight of Evidenc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rn Analysis Using Information Value and Weight of Evidence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4A7">
        <w:rPr>
          <w:rFonts w:ascii="Times New Roman" w:hAnsi="Times New Roman" w:cs="Times New Roman"/>
        </w:rPr>
        <w:t>Or,</w:t>
      </w:r>
    </w:p>
    <w:p w14:paraId="5C91B32B" w14:textId="426758AC" w:rsidR="00EB74A7" w:rsidRPr="00EB74A7" w:rsidRDefault="00EB74A7" w:rsidP="00EB74A7">
      <w:pPr>
        <w:jc w:val="both"/>
        <w:rPr>
          <w:rFonts w:ascii="Times New Roman" w:hAnsi="Times New Roman" w:cs="Times New Roman"/>
        </w:rPr>
      </w:pPr>
    </w:p>
    <w:p w14:paraId="194AFE99" w14:textId="77777777" w:rsidR="00EB74A7" w:rsidRPr="00EB74A7" w:rsidRDefault="00EB74A7" w:rsidP="00EB74A7">
      <w:pPr>
        <w:jc w:val="both"/>
        <w:rPr>
          <w:rFonts w:ascii="Times New Roman" w:hAnsi="Times New Roman" w:cs="Times New Roman"/>
        </w:rPr>
      </w:pPr>
    </w:p>
    <w:p w14:paraId="202A189E" w14:textId="77777777" w:rsidR="00EB74A7" w:rsidRPr="00EB74A7" w:rsidRDefault="00EB74A7" w:rsidP="00EB74A7">
      <w:pPr>
        <w:jc w:val="both"/>
        <w:rPr>
          <w:rFonts w:ascii="Times New Roman" w:hAnsi="Times New Roman" w:cs="Times New Roman"/>
        </w:rPr>
      </w:pPr>
    </w:p>
    <w:p w14:paraId="559FFAD2" w14:textId="2813F1A5" w:rsidR="006D09E4" w:rsidRPr="00EB74A7" w:rsidRDefault="006D09E4" w:rsidP="00EB74A7">
      <w:pPr>
        <w:jc w:val="both"/>
        <w:rPr>
          <w:rFonts w:ascii="Times New Roman" w:hAnsi="Times New Roman" w:cs="Times New Roman"/>
          <w:sz w:val="20"/>
          <w:szCs w:val="20"/>
        </w:rPr>
      </w:pPr>
      <w:r w:rsidRPr="00EB74A7">
        <w:rPr>
          <w:rFonts w:ascii="Times New Roman" w:hAnsi="Times New Roman" w:cs="Times New Roman"/>
          <w:sz w:val="20"/>
          <w:szCs w:val="20"/>
        </w:rPr>
        <w:t xml:space="preserve">Then, you calculate the IV by summing up the </w:t>
      </w:r>
      <w:proofErr w:type="spellStart"/>
      <w:r w:rsidRPr="00EB74A7">
        <w:rPr>
          <w:rFonts w:ascii="Times New Roman" w:hAnsi="Times New Roman" w:cs="Times New Roman"/>
          <w:sz w:val="20"/>
          <w:szCs w:val="20"/>
        </w:rPr>
        <w:t>WoE</w:t>
      </w:r>
      <w:proofErr w:type="spellEnd"/>
      <w:r w:rsidRPr="00EB74A7">
        <w:rPr>
          <w:rFonts w:ascii="Times New Roman" w:hAnsi="Times New Roman" w:cs="Times New Roman"/>
          <w:sz w:val="20"/>
          <w:szCs w:val="20"/>
        </w:rPr>
        <w:t>-based contributions from all categories.</w:t>
      </w:r>
    </w:p>
    <w:p w14:paraId="1A58DBD3" w14:textId="172F667B" w:rsidR="00EB74A7" w:rsidRPr="00EB74A7" w:rsidRDefault="00EB74A7" w:rsidP="00EB74A7">
      <w:pPr>
        <w:jc w:val="both"/>
        <w:rPr>
          <w:rFonts w:ascii="Times New Roman" w:hAnsi="Times New Roman" w:cs="Times New Roman"/>
        </w:rPr>
      </w:pPr>
      <w:r w:rsidRPr="00EB74A7">
        <w:rPr>
          <w:rFonts w:ascii="Times New Roman" w:hAnsi="Times New Roman" w:cs="Times New Roman"/>
          <w:noProof/>
        </w:rPr>
        <w:drawing>
          <wp:inline distT="0" distB="0" distL="0" distR="0" wp14:anchorId="3B519961" wp14:editId="2B49D408">
            <wp:extent cx="5731510" cy="1047750"/>
            <wp:effectExtent l="0" t="0" r="2540" b="0"/>
            <wp:docPr id="838079933" name="Picture 3" descr="Understand Weight of Evidence and Information Valu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 Weight of Evidence and Information Value! - Analytics Vidh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27048204" w14:textId="4A57FFD0" w:rsidR="00E55A33" w:rsidRPr="00EB74A7" w:rsidRDefault="006D09E4" w:rsidP="00EB74A7">
      <w:pPr>
        <w:jc w:val="both"/>
        <w:rPr>
          <w:rFonts w:ascii="Times New Roman" w:hAnsi="Times New Roman" w:cs="Times New Roman"/>
          <w:sz w:val="20"/>
          <w:szCs w:val="20"/>
        </w:rPr>
      </w:pPr>
      <w:r w:rsidRPr="00EB74A7">
        <w:rPr>
          <w:rFonts w:ascii="Times New Roman" w:hAnsi="Times New Roman" w:cs="Times New Roman"/>
          <w:sz w:val="20"/>
          <w:szCs w:val="20"/>
        </w:rPr>
        <w:t>A high IV value for the credit utilization ratio would indicate that this variable is significant in predicting credit risk. A low IV value would suggest that it doesn't provide much predictive power. This information can help you make decisions about which variables to include in your credit scoring model</w:t>
      </w:r>
      <w:r w:rsidR="00EB74A7" w:rsidRPr="00EB74A7">
        <w:rPr>
          <w:rFonts w:ascii="Times New Roman" w:hAnsi="Times New Roman" w:cs="Times New Roman"/>
          <w:sz w:val="20"/>
          <w:szCs w:val="20"/>
        </w:rPr>
        <w:t>.</w:t>
      </w:r>
    </w:p>
    <w:sectPr w:rsidR="00E55A33" w:rsidRPr="00EB7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C5E"/>
    <w:multiLevelType w:val="hybridMultilevel"/>
    <w:tmpl w:val="0F14DE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A509AE"/>
    <w:multiLevelType w:val="hybridMultilevel"/>
    <w:tmpl w:val="FBC8A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250478"/>
    <w:multiLevelType w:val="hybridMultilevel"/>
    <w:tmpl w:val="3D6E1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0640644">
    <w:abstractNumId w:val="2"/>
  </w:num>
  <w:num w:numId="2" w16cid:durableId="1401949305">
    <w:abstractNumId w:val="1"/>
  </w:num>
  <w:num w:numId="3" w16cid:durableId="78284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E4"/>
    <w:rsid w:val="006D09E4"/>
    <w:rsid w:val="0070678C"/>
    <w:rsid w:val="00A6137E"/>
    <w:rsid w:val="00E55A33"/>
    <w:rsid w:val="00EB7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A376"/>
  <w15:chartTrackingRefBased/>
  <w15:docId w15:val="{E9E4CFF8-0D21-4560-9595-79099981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1</cp:revision>
  <dcterms:created xsi:type="dcterms:W3CDTF">2023-10-14T18:02:00Z</dcterms:created>
  <dcterms:modified xsi:type="dcterms:W3CDTF">2023-10-14T18:25:00Z</dcterms:modified>
</cp:coreProperties>
</file>