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8960C9" w14:textId="5ABAA3DE" w:rsidR="00D76058" w:rsidRPr="005217E7" w:rsidRDefault="007B706D" w:rsidP="005217E7">
      <w:pPr>
        <w:spacing w:line="480" w:lineRule="auto"/>
        <w:jc w:val="center"/>
        <w:rPr>
          <w:rFonts w:ascii="Times" w:eastAsia="Times New Roman" w:hAnsi="Times" w:cs="Times New Roman"/>
          <w:b/>
          <w:bCs/>
          <w:color w:val="333333"/>
          <w:shd w:val="clear" w:color="auto" w:fill="FFFFFF"/>
        </w:rPr>
      </w:pPr>
      <w:bookmarkStart w:id="0" w:name="_Hlk59459489"/>
      <w:r w:rsidRPr="005217E7">
        <w:rPr>
          <w:rFonts w:ascii="Times" w:eastAsia="Times New Roman" w:hAnsi="Times" w:cs="Times New Roman"/>
          <w:b/>
          <w:bCs/>
          <w:color w:val="333333"/>
          <w:shd w:val="clear" w:color="auto" w:fill="FFFFFF"/>
        </w:rPr>
        <w:t>How might accountability issues bias the state in favor of the migrants?</w:t>
      </w:r>
      <w:bookmarkEnd w:id="0"/>
    </w:p>
    <w:p w14:paraId="5F14F8A8" w14:textId="65F56060" w:rsidR="003238B5" w:rsidRPr="005217E7" w:rsidRDefault="00D76058" w:rsidP="00D043FC">
      <w:pPr>
        <w:spacing w:line="480" w:lineRule="auto"/>
        <w:ind w:firstLine="720"/>
        <w:jc w:val="both"/>
        <w:rPr>
          <w:rFonts w:ascii="Times" w:eastAsia="Times New Roman" w:hAnsi="Times" w:cs="Times New Roman"/>
          <w:color w:val="333333"/>
          <w:shd w:val="clear" w:color="auto" w:fill="FFFFFF"/>
          <w:lang w:val="en-US"/>
        </w:rPr>
      </w:pPr>
      <w:r w:rsidRPr="005217E7">
        <w:rPr>
          <w:rFonts w:ascii="Times" w:eastAsia="Times New Roman" w:hAnsi="Times" w:cs="Times New Roman"/>
          <w:color w:val="333333"/>
          <w:shd w:val="clear" w:color="auto" w:fill="FFFFFF"/>
          <w:lang w:val="en-US"/>
        </w:rPr>
        <w:t>Accountability is one of the fundamental principles of modern democracy. It allows for the citizenry to pass judgement on the actions of the people in power and holds public interest as a cornerstone of a participatory state. However, as institutions of power and bureaucracies become bigger and more complex, it becomes more difficult to pinpoint who to hold accountable in the case of discontent for a policy or action of a state, effectively creating an accountability gap.</w:t>
      </w:r>
      <w:r w:rsidR="0039360D" w:rsidRPr="005217E7">
        <w:rPr>
          <w:rFonts w:ascii="Times" w:eastAsia="Times New Roman" w:hAnsi="Times" w:cs="Times New Roman"/>
          <w:color w:val="333333"/>
          <w:shd w:val="clear" w:color="auto" w:fill="FFFFFF"/>
          <w:lang w:val="en-US"/>
        </w:rPr>
        <w:t xml:space="preserve"> Even though the concept of accountability might seem illusive, it is still an important factor that all governments have to keep in mind in order to hold on to power. In a democracy this is the entire electorate, which passes judgement on the success and failure of the state through elections, protest or petitions. In an authoritarian state the leader might be held accountable to a small group of stakeholders that ensure the leader can hold a tight grip on power. </w:t>
      </w:r>
    </w:p>
    <w:p w14:paraId="4C1CECE2" w14:textId="49B2A875" w:rsidR="003238B5" w:rsidRPr="005217E7" w:rsidRDefault="0039360D" w:rsidP="00D043FC">
      <w:pPr>
        <w:spacing w:line="480" w:lineRule="auto"/>
        <w:ind w:firstLine="720"/>
        <w:jc w:val="both"/>
        <w:rPr>
          <w:rFonts w:ascii="Times" w:eastAsia="Times New Roman" w:hAnsi="Times" w:cs="Times New Roman"/>
          <w:color w:val="333333"/>
          <w:shd w:val="clear" w:color="auto" w:fill="FFFFFF"/>
          <w:lang w:val="en-US"/>
        </w:rPr>
      </w:pPr>
      <w:r w:rsidRPr="005217E7">
        <w:rPr>
          <w:rFonts w:ascii="Times" w:eastAsia="Times New Roman" w:hAnsi="Times" w:cs="Times New Roman"/>
          <w:color w:val="333333"/>
          <w:shd w:val="clear" w:color="auto" w:fill="FFFFFF"/>
          <w:lang w:val="en-US"/>
        </w:rPr>
        <w:t>Furthermore, there might be incentives for states to try and minimize the role they play in the effectiveness of a policy in the case that the policy is a failure and or capitalize on it in the case that it is a success.</w:t>
      </w:r>
      <w:r w:rsidR="005243B4" w:rsidRPr="005217E7">
        <w:rPr>
          <w:rFonts w:ascii="Times" w:eastAsia="Times New Roman" w:hAnsi="Times" w:cs="Times New Roman"/>
          <w:color w:val="333333"/>
          <w:shd w:val="clear" w:color="auto" w:fill="FFFFFF"/>
          <w:lang w:val="en-US"/>
        </w:rPr>
        <w:t xml:space="preserve"> In the case that a certain policy creates conflict due to its nature or implementation, states can evade accountability by blaming others, being secretive or, in the case of resettlement programs for example, take a side in the conflict that is most likely to have the least repercussions</w:t>
      </w:r>
      <w:r w:rsidR="00D65E3C" w:rsidRPr="005217E7">
        <w:rPr>
          <w:rFonts w:ascii="Times" w:eastAsia="Times New Roman" w:hAnsi="Times" w:cs="Times New Roman"/>
          <w:color w:val="333333"/>
          <w:shd w:val="clear" w:color="auto" w:fill="FFFFFF"/>
          <w:lang w:val="en-US"/>
        </w:rPr>
        <w:t>.</w:t>
      </w:r>
      <w:r w:rsidR="005243B4" w:rsidRPr="005217E7">
        <w:rPr>
          <w:rFonts w:ascii="Times" w:eastAsia="Times New Roman" w:hAnsi="Times" w:cs="Times New Roman"/>
          <w:color w:val="333333"/>
          <w:shd w:val="clear" w:color="auto" w:fill="FFFFFF"/>
          <w:lang w:val="en-US"/>
        </w:rPr>
        <w:t xml:space="preserve"> </w:t>
      </w:r>
    </w:p>
    <w:p w14:paraId="4D9FBCE6" w14:textId="4EFC8CCE" w:rsidR="00D65E3C" w:rsidRPr="005217E7" w:rsidRDefault="00714585" w:rsidP="00D043FC">
      <w:pPr>
        <w:spacing w:line="480" w:lineRule="auto"/>
        <w:ind w:firstLine="720"/>
        <w:jc w:val="both"/>
        <w:rPr>
          <w:rFonts w:ascii="Times" w:eastAsia="Times New Roman" w:hAnsi="Times" w:cs="Times New Roman"/>
          <w:color w:val="333333"/>
          <w:shd w:val="clear" w:color="auto" w:fill="FFFFFF"/>
          <w:lang w:val="en-US"/>
        </w:rPr>
      </w:pPr>
      <w:r w:rsidRPr="005217E7">
        <w:rPr>
          <w:rFonts w:ascii="Times" w:eastAsia="Times New Roman" w:hAnsi="Times" w:cs="Times New Roman"/>
          <w:color w:val="333333"/>
          <w:shd w:val="clear" w:color="auto" w:fill="FFFFFF"/>
          <w:lang w:val="en-US"/>
        </w:rPr>
        <w:t xml:space="preserve">Internal migration is a phenomenon where the notion of accountability plays a big role. More specifically in resettlement programs, where large groups of people are displaced to different parts of the country on the basis of development, due to infrastructure projects, to civilize “backwards people” and so on. </w:t>
      </w:r>
      <w:r w:rsidR="00D65E3C" w:rsidRPr="005217E7">
        <w:rPr>
          <w:rFonts w:ascii="Times" w:eastAsia="Times New Roman" w:hAnsi="Times" w:cs="Times New Roman"/>
          <w:color w:val="333333"/>
          <w:shd w:val="clear" w:color="auto" w:fill="FFFFFF"/>
          <w:lang w:val="en-US"/>
        </w:rPr>
        <w:t xml:space="preserve">A lot of the times, the resettlements programs might have negatives consequences in the form of conflict between the settlers, or the migrants, and the host community supposed to receive them. In the case that such a conflict emerges, the state has to make a decision </w:t>
      </w:r>
      <w:r w:rsidR="00D65E3C" w:rsidRPr="005217E7">
        <w:rPr>
          <w:rFonts w:ascii="Times" w:eastAsia="Times New Roman" w:hAnsi="Times" w:cs="Times New Roman"/>
          <w:color w:val="333333"/>
          <w:shd w:val="clear" w:color="auto" w:fill="FFFFFF"/>
          <w:lang w:val="en-US"/>
        </w:rPr>
        <w:lastRenderedPageBreak/>
        <w:t xml:space="preserve">on whether to accept responsibility for causing it, which might lead to being held accountable for the </w:t>
      </w:r>
      <w:r w:rsidR="00392CC5" w:rsidRPr="005217E7">
        <w:rPr>
          <w:rFonts w:ascii="Times" w:eastAsia="Times New Roman" w:hAnsi="Times" w:cs="Times New Roman"/>
          <w:color w:val="333333"/>
          <w:shd w:val="clear" w:color="auto" w:fill="FFFFFF"/>
          <w:lang w:val="en-US"/>
        </w:rPr>
        <w:t>program’s</w:t>
      </w:r>
      <w:r w:rsidR="00D65E3C" w:rsidRPr="005217E7">
        <w:rPr>
          <w:rFonts w:ascii="Times" w:eastAsia="Times New Roman" w:hAnsi="Times" w:cs="Times New Roman"/>
          <w:color w:val="333333"/>
          <w:shd w:val="clear" w:color="auto" w:fill="FFFFFF"/>
          <w:lang w:val="en-US"/>
        </w:rPr>
        <w:t xml:space="preserve"> </w:t>
      </w:r>
      <w:r w:rsidR="00015234" w:rsidRPr="005217E7">
        <w:rPr>
          <w:rFonts w:ascii="Times" w:eastAsia="Times New Roman" w:hAnsi="Times" w:cs="Times New Roman"/>
          <w:color w:val="333333"/>
          <w:shd w:val="clear" w:color="auto" w:fill="FFFFFF"/>
          <w:lang w:val="en-US"/>
        </w:rPr>
        <w:t>failure or</w:t>
      </w:r>
      <w:r w:rsidR="00D65E3C" w:rsidRPr="005217E7">
        <w:rPr>
          <w:rFonts w:ascii="Times" w:eastAsia="Times New Roman" w:hAnsi="Times" w:cs="Times New Roman"/>
          <w:color w:val="333333"/>
          <w:shd w:val="clear" w:color="auto" w:fill="FFFFFF"/>
          <w:lang w:val="en-US"/>
        </w:rPr>
        <w:t xml:space="preserve"> </w:t>
      </w:r>
      <w:r w:rsidR="00E301EF" w:rsidRPr="005217E7">
        <w:rPr>
          <w:rFonts w:ascii="Times" w:eastAsia="Times New Roman" w:hAnsi="Times" w:cs="Times New Roman"/>
          <w:color w:val="333333"/>
          <w:shd w:val="clear" w:color="auto" w:fill="FFFFFF"/>
          <w:lang w:val="en-US"/>
        </w:rPr>
        <w:t>take a side with</w:t>
      </w:r>
      <w:r w:rsidR="00D65E3C" w:rsidRPr="005217E7">
        <w:rPr>
          <w:rFonts w:ascii="Times" w:eastAsia="Times New Roman" w:hAnsi="Times" w:cs="Times New Roman"/>
          <w:color w:val="333333"/>
          <w:shd w:val="clear" w:color="auto" w:fill="FFFFFF"/>
          <w:lang w:val="en-US"/>
        </w:rPr>
        <w:t xml:space="preserve"> </w:t>
      </w:r>
      <w:r w:rsidR="00E301EF" w:rsidRPr="005217E7">
        <w:rPr>
          <w:rFonts w:ascii="Times" w:eastAsia="Times New Roman" w:hAnsi="Times" w:cs="Times New Roman"/>
          <w:color w:val="333333"/>
          <w:shd w:val="clear" w:color="auto" w:fill="FFFFFF"/>
          <w:lang w:val="en-US"/>
        </w:rPr>
        <w:t xml:space="preserve">the migrants </w:t>
      </w:r>
      <w:r w:rsidR="00D65E3C" w:rsidRPr="005217E7">
        <w:rPr>
          <w:rFonts w:ascii="Times" w:eastAsia="Times New Roman" w:hAnsi="Times" w:cs="Times New Roman"/>
          <w:color w:val="333333"/>
          <w:shd w:val="clear" w:color="auto" w:fill="FFFFFF"/>
          <w:lang w:val="en-US"/>
        </w:rPr>
        <w:t xml:space="preserve">causing the conflict and denying any wrongdoing or political mishap. This paper will examine the case of the Indonesian policy of transmigration and how it has </w:t>
      </w:r>
      <w:r w:rsidR="00392CC5" w:rsidRPr="005217E7">
        <w:rPr>
          <w:rFonts w:ascii="Times" w:eastAsia="Times New Roman" w:hAnsi="Times" w:cs="Times New Roman"/>
          <w:color w:val="333333"/>
          <w:shd w:val="clear" w:color="auto" w:fill="FFFFFF"/>
          <w:lang w:val="en-US"/>
        </w:rPr>
        <w:t>repeatedly supported the migrants in favor of the host-communities in order to justify the massive scale and costs of the program and not to bear responsibility for the human rights violations resulting from it.</w:t>
      </w:r>
    </w:p>
    <w:p w14:paraId="09B71787" w14:textId="77C4ABB7" w:rsidR="00B842FA" w:rsidRPr="005217E7" w:rsidRDefault="006B07E6" w:rsidP="00D043FC">
      <w:pPr>
        <w:spacing w:line="480" w:lineRule="auto"/>
        <w:ind w:firstLine="720"/>
        <w:jc w:val="both"/>
        <w:rPr>
          <w:rFonts w:ascii="Times" w:eastAsia="Times New Roman" w:hAnsi="Times" w:cs="Times New Roman"/>
          <w:color w:val="333333"/>
          <w:shd w:val="clear" w:color="auto" w:fill="FFFFFF"/>
          <w:lang w:val="en-US"/>
        </w:rPr>
      </w:pPr>
      <w:r w:rsidRPr="005217E7">
        <w:rPr>
          <w:rFonts w:ascii="Times" w:eastAsia="Times New Roman" w:hAnsi="Times" w:cs="Times New Roman"/>
          <w:color w:val="333333"/>
          <w:shd w:val="clear" w:color="auto" w:fill="FFFFFF"/>
          <w:lang w:val="en-US"/>
        </w:rPr>
        <w:t>Indonesia is country of over 1</w:t>
      </w:r>
      <w:r w:rsidR="00BE49E3" w:rsidRPr="005217E7">
        <w:rPr>
          <w:rFonts w:ascii="Times" w:eastAsia="Times New Roman" w:hAnsi="Times" w:cs="Times New Roman"/>
          <w:color w:val="333333"/>
          <w:shd w:val="clear" w:color="auto" w:fill="FFFFFF"/>
          <w:lang w:val="en-US"/>
        </w:rPr>
        <w:t>7</w:t>
      </w:r>
      <w:r w:rsidRPr="005217E7">
        <w:rPr>
          <w:rFonts w:ascii="Times" w:eastAsia="Times New Roman" w:hAnsi="Times" w:cs="Times New Roman"/>
          <w:color w:val="333333"/>
          <w:shd w:val="clear" w:color="auto" w:fill="FFFFFF"/>
          <w:lang w:val="en-US"/>
        </w:rPr>
        <w:t>,000 islands out of which approximately 6,000 are inhabited. Due to the fragmentation, policies rooted in the preservation of national unity have always been a priority to the state.</w:t>
      </w:r>
      <w:r w:rsidR="00BE49E3" w:rsidRPr="005217E7">
        <w:rPr>
          <w:rFonts w:ascii="Times" w:eastAsia="Times New Roman" w:hAnsi="Times" w:cs="Times New Roman"/>
          <w:color w:val="333333"/>
          <w:shd w:val="clear" w:color="auto" w:fill="FFFFFF"/>
          <w:lang w:val="en-US"/>
        </w:rPr>
        <w:t xml:space="preserve"> The transmigration program had the aim of resettling millions of Indonesians from the overcrowded islands of Java, Bali, Madura and Lombok to less populated areas and islands of Sumatra, Sulawesi, Indonesian New Guinea and Kalimantan.</w:t>
      </w:r>
      <w:r w:rsidR="00BE49E3" w:rsidRPr="005217E7">
        <w:rPr>
          <w:rStyle w:val="FootnoteReference"/>
          <w:rFonts w:ascii="Times" w:eastAsia="Times New Roman" w:hAnsi="Times" w:cs="Times New Roman"/>
          <w:color w:val="333333"/>
          <w:shd w:val="clear" w:color="auto" w:fill="FFFFFF"/>
          <w:lang w:val="en-US"/>
        </w:rPr>
        <w:footnoteReference w:id="1"/>
      </w:r>
      <w:r w:rsidR="00BE49E3" w:rsidRPr="005217E7">
        <w:rPr>
          <w:rFonts w:ascii="Times" w:eastAsia="Times New Roman" w:hAnsi="Times" w:cs="Times New Roman"/>
          <w:color w:val="333333"/>
          <w:shd w:val="clear" w:color="auto" w:fill="FFFFFF"/>
          <w:lang w:val="en-US"/>
        </w:rPr>
        <w:t xml:space="preserve">The program, which itself is a continuation of Dutch colonial policy of population resettlement, was driven by the goal of </w:t>
      </w:r>
      <w:r w:rsidR="00B842FA" w:rsidRPr="005217E7">
        <w:rPr>
          <w:rFonts w:ascii="Times" w:eastAsia="Times New Roman" w:hAnsi="Times" w:cs="Times New Roman"/>
          <w:color w:val="333333"/>
          <w:shd w:val="clear" w:color="auto" w:fill="FFFFFF"/>
          <w:lang w:val="en-US"/>
        </w:rPr>
        <w:t>spreading the population of mostly ethnic Javanese through which an expansive integration of the country could occur by homogenizing the national culture of Indonesia.</w:t>
      </w:r>
      <w:r w:rsidR="00B842FA" w:rsidRPr="005217E7">
        <w:rPr>
          <w:rStyle w:val="FootnoteReference"/>
          <w:rFonts w:ascii="Times" w:eastAsia="Times New Roman" w:hAnsi="Times" w:cs="Times New Roman"/>
          <w:color w:val="333333"/>
          <w:shd w:val="clear" w:color="auto" w:fill="FFFFFF"/>
          <w:lang w:val="en-US"/>
        </w:rPr>
        <w:footnoteReference w:id="2"/>
      </w:r>
      <w:r w:rsidR="00B842FA" w:rsidRPr="005217E7">
        <w:rPr>
          <w:rFonts w:ascii="Times" w:eastAsia="Times New Roman" w:hAnsi="Times" w:cs="Times New Roman"/>
          <w:color w:val="333333"/>
          <w:shd w:val="clear" w:color="auto" w:fill="FFFFFF"/>
          <w:lang w:val="en-US"/>
        </w:rPr>
        <w:t xml:space="preserve"> The unification of the country through a well-disbursed common Javanese culture can be seen as a tactic of nation building as it allowed for the spread of authority of the central government. Cultural diversity was seen as an impediment to these nation building efforts and thus necessitated its reduction through the promotion of a singular national langue and national symbols.</w:t>
      </w:r>
      <w:r w:rsidR="00B842FA" w:rsidRPr="005217E7">
        <w:rPr>
          <w:rStyle w:val="FootnoteReference"/>
          <w:rFonts w:ascii="Times" w:eastAsia="Times New Roman" w:hAnsi="Times" w:cs="Times New Roman"/>
          <w:color w:val="333333"/>
          <w:shd w:val="clear" w:color="auto" w:fill="FFFFFF"/>
          <w:lang w:val="en-US"/>
        </w:rPr>
        <w:footnoteReference w:id="3"/>
      </w:r>
      <w:r w:rsidR="00B842FA" w:rsidRPr="005217E7">
        <w:rPr>
          <w:rFonts w:ascii="Times" w:eastAsia="Times New Roman" w:hAnsi="Times" w:cs="Times New Roman"/>
          <w:color w:val="333333"/>
          <w:shd w:val="clear" w:color="auto" w:fill="FFFFFF"/>
          <w:lang w:val="en-US"/>
        </w:rPr>
        <w:t xml:space="preserve"> </w:t>
      </w:r>
    </w:p>
    <w:p w14:paraId="250847BB" w14:textId="5E2CCD16" w:rsidR="00050103" w:rsidRPr="005217E7" w:rsidRDefault="00E301EF" w:rsidP="00D043FC">
      <w:pPr>
        <w:spacing w:line="480" w:lineRule="auto"/>
        <w:ind w:firstLine="720"/>
        <w:jc w:val="both"/>
        <w:rPr>
          <w:rFonts w:ascii="Times" w:eastAsia="Times New Roman" w:hAnsi="Times" w:cs="Times New Roman"/>
          <w:color w:val="333333"/>
          <w:shd w:val="clear" w:color="auto" w:fill="FFFFFF"/>
          <w:lang w:val="en-US"/>
        </w:rPr>
      </w:pPr>
      <w:r w:rsidRPr="005217E7">
        <w:rPr>
          <w:rFonts w:ascii="Times" w:eastAsia="Times New Roman" w:hAnsi="Times" w:cs="Times New Roman"/>
          <w:color w:val="333333"/>
          <w:shd w:val="clear" w:color="auto" w:fill="FFFFFF"/>
          <w:lang w:val="en-US"/>
        </w:rPr>
        <w:t xml:space="preserve">The goal of the Indonesian government already clearly indicates the bias towards the migrants </w:t>
      </w:r>
      <w:r w:rsidR="001B35A7" w:rsidRPr="005217E7">
        <w:rPr>
          <w:rFonts w:ascii="Times" w:eastAsia="Times New Roman" w:hAnsi="Times" w:cs="Times New Roman"/>
          <w:color w:val="333333"/>
          <w:shd w:val="clear" w:color="auto" w:fill="FFFFFF"/>
          <w:lang w:val="en-US"/>
        </w:rPr>
        <w:t>being resettled over the host communities</w:t>
      </w:r>
      <w:r w:rsidR="007D6B44" w:rsidRPr="005217E7">
        <w:rPr>
          <w:rFonts w:ascii="Times" w:eastAsia="Times New Roman" w:hAnsi="Times" w:cs="Times New Roman"/>
          <w:color w:val="333333"/>
          <w:shd w:val="clear" w:color="auto" w:fill="FFFFFF"/>
          <w:lang w:val="en-US"/>
        </w:rPr>
        <w:t>, a</w:t>
      </w:r>
      <w:r w:rsidR="001B35A7" w:rsidRPr="005217E7">
        <w:rPr>
          <w:rFonts w:ascii="Times" w:eastAsia="Times New Roman" w:hAnsi="Times" w:cs="Times New Roman"/>
          <w:color w:val="333333"/>
          <w:shd w:val="clear" w:color="auto" w:fill="FFFFFF"/>
          <w:lang w:val="en-US"/>
        </w:rPr>
        <w:t xml:space="preserve">s the goal of the government is less so to </w:t>
      </w:r>
      <w:r w:rsidR="001B35A7" w:rsidRPr="005217E7">
        <w:rPr>
          <w:rFonts w:ascii="Times" w:eastAsia="Times New Roman" w:hAnsi="Times" w:cs="Times New Roman"/>
          <w:color w:val="333333"/>
          <w:shd w:val="clear" w:color="auto" w:fill="FFFFFF"/>
          <w:lang w:val="en-US"/>
        </w:rPr>
        <w:lastRenderedPageBreak/>
        <w:t>increase the well-being of the migrants</w:t>
      </w:r>
      <w:r w:rsidR="007D6B44" w:rsidRPr="005217E7">
        <w:rPr>
          <w:rFonts w:ascii="Times" w:eastAsia="Times New Roman" w:hAnsi="Times" w:cs="Times New Roman"/>
          <w:color w:val="333333"/>
          <w:shd w:val="clear" w:color="auto" w:fill="FFFFFF"/>
          <w:lang w:val="en-US"/>
        </w:rPr>
        <w:t xml:space="preserve"> as it is to consolidate Javanese power over the Indonesian islands. This is well illustrated by the fact that the people who were a part of the general transmigration, also called sponsored transmigration, were provided with transportation to the new settlement, a living allowance until the first harvest, a house and a piece of land to live off of. They were resettled with the aim of lowering the overpopulation pressure of Java as well as to act as model farmers who would teach the natives of the outer islands farming techniques. </w:t>
      </w:r>
      <w:r w:rsidR="00015234" w:rsidRPr="005217E7">
        <w:rPr>
          <w:rFonts w:ascii="Times" w:eastAsia="Times New Roman" w:hAnsi="Times" w:cs="Times New Roman"/>
          <w:color w:val="333333"/>
          <w:shd w:val="clear" w:color="auto" w:fill="FFFFFF"/>
          <w:lang w:val="en-US"/>
        </w:rPr>
        <w:t>However, according to surveys in the 1970s between one third and one half the transmigrants had never owned or managed land before.</w:t>
      </w:r>
      <w:r w:rsidR="00015234" w:rsidRPr="005217E7">
        <w:rPr>
          <w:rStyle w:val="FootnoteReference"/>
          <w:rFonts w:ascii="Times" w:eastAsia="Times New Roman" w:hAnsi="Times" w:cs="Times New Roman"/>
          <w:color w:val="333333"/>
          <w:shd w:val="clear" w:color="auto" w:fill="FFFFFF"/>
          <w:lang w:val="en-US"/>
        </w:rPr>
        <w:footnoteReference w:id="4"/>
      </w:r>
      <w:r w:rsidR="00015234" w:rsidRPr="005217E7">
        <w:rPr>
          <w:rFonts w:ascii="Times" w:eastAsia="Times New Roman" w:hAnsi="Times" w:cs="Times New Roman"/>
          <w:color w:val="333333"/>
          <w:shd w:val="clear" w:color="auto" w:fill="FFFFFF"/>
          <w:lang w:val="en-US"/>
        </w:rPr>
        <w:t xml:space="preserve"> Thus instead of teaching farming to the indigenous people of the outer islands, they ended up learning how to farm from them.</w:t>
      </w:r>
    </w:p>
    <w:p w14:paraId="6997A725" w14:textId="47D9FE92" w:rsidR="006B07E6" w:rsidRPr="005217E7" w:rsidRDefault="00050103" w:rsidP="00D043FC">
      <w:pPr>
        <w:spacing w:line="480" w:lineRule="auto"/>
        <w:ind w:firstLine="720"/>
        <w:jc w:val="both"/>
        <w:rPr>
          <w:rFonts w:ascii="Times" w:eastAsia="Times New Roman" w:hAnsi="Times" w:cs="Times New Roman"/>
          <w:color w:val="333333"/>
          <w:shd w:val="clear" w:color="auto" w:fill="FFFFFF"/>
          <w:lang w:val="en-US"/>
        </w:rPr>
      </w:pPr>
      <w:r w:rsidRPr="005217E7">
        <w:rPr>
          <w:rFonts w:ascii="Times" w:eastAsia="Times New Roman" w:hAnsi="Times" w:cs="Times New Roman"/>
          <w:color w:val="333333"/>
          <w:shd w:val="clear" w:color="auto" w:fill="FFFFFF"/>
          <w:lang w:val="en-US"/>
        </w:rPr>
        <w:t>In essence the responsibility of a government should encompass the well-being of all of its citizens. As we seen in the case of Indonesia preference is given wholly to the Javanese, independent of the fact whether they are more vulnerable than other ethnic groups or not. However, as accountability for programs is measured based on the success of the initial intent and aim, we see an overwhelming bias towards the migrants compared to the host populations. Thus</w:t>
      </w:r>
      <w:r w:rsidR="00CF1E2E" w:rsidRPr="005217E7">
        <w:rPr>
          <w:rFonts w:ascii="Times" w:eastAsia="Times New Roman" w:hAnsi="Times" w:cs="Times New Roman"/>
          <w:color w:val="333333"/>
          <w:shd w:val="clear" w:color="auto" w:fill="FFFFFF"/>
          <w:lang w:val="en-US"/>
        </w:rPr>
        <w:t>, t</w:t>
      </w:r>
      <w:r w:rsidRPr="005217E7">
        <w:rPr>
          <w:rFonts w:ascii="Times" w:eastAsia="Times New Roman" w:hAnsi="Times" w:cs="Times New Roman"/>
          <w:color w:val="333333"/>
          <w:shd w:val="clear" w:color="auto" w:fill="FFFFFF"/>
          <w:lang w:val="en-US"/>
        </w:rPr>
        <w:t>hings that can be measure</w:t>
      </w:r>
      <w:r w:rsidR="00CF1E2E" w:rsidRPr="005217E7">
        <w:rPr>
          <w:rFonts w:ascii="Times" w:eastAsia="Times New Roman" w:hAnsi="Times" w:cs="Times New Roman"/>
          <w:color w:val="333333"/>
          <w:shd w:val="clear" w:color="auto" w:fill="FFFFFF"/>
          <w:lang w:val="en-US"/>
        </w:rPr>
        <w:t>d</w:t>
      </w:r>
      <w:r w:rsidRPr="005217E7">
        <w:rPr>
          <w:rFonts w:ascii="Times" w:eastAsia="Times New Roman" w:hAnsi="Times" w:cs="Times New Roman"/>
          <w:color w:val="333333"/>
          <w:shd w:val="clear" w:color="auto" w:fill="FFFFFF"/>
          <w:lang w:val="en-US"/>
        </w:rPr>
        <w:t xml:space="preserve"> are</w:t>
      </w:r>
      <w:r w:rsidR="00CF1E2E" w:rsidRPr="005217E7">
        <w:rPr>
          <w:rFonts w:ascii="Times" w:eastAsia="Times New Roman" w:hAnsi="Times" w:cs="Times New Roman"/>
          <w:color w:val="333333"/>
          <w:shd w:val="clear" w:color="auto" w:fill="FFFFFF"/>
          <w:lang w:val="en-US"/>
        </w:rPr>
        <w:t>:</w:t>
      </w:r>
      <w:r w:rsidRPr="005217E7">
        <w:rPr>
          <w:rFonts w:ascii="Times" w:eastAsia="Times New Roman" w:hAnsi="Times" w:cs="Times New Roman"/>
          <w:color w:val="333333"/>
          <w:shd w:val="clear" w:color="auto" w:fill="FFFFFF"/>
          <w:lang w:val="en-US"/>
        </w:rPr>
        <w:t xml:space="preserve"> whether the</w:t>
      </w:r>
      <w:r w:rsidR="00CF1E2E" w:rsidRPr="005217E7">
        <w:rPr>
          <w:rFonts w:ascii="Times" w:eastAsia="Times New Roman" w:hAnsi="Times" w:cs="Times New Roman"/>
          <w:color w:val="333333"/>
          <w:shd w:val="clear" w:color="auto" w:fill="FFFFFF"/>
          <w:lang w:val="en-US"/>
        </w:rPr>
        <w:t xml:space="preserve"> family or individual was successfully resettled? Are they benefitting from all the social benefits meant for them? Are they contributing towards the national unity of Indonesia? If the answer to all of these questions is “yes,” the</w:t>
      </w:r>
      <w:r w:rsidR="00436E7B" w:rsidRPr="005217E7">
        <w:rPr>
          <w:rFonts w:ascii="Times" w:eastAsia="Times New Roman" w:hAnsi="Times" w:cs="Times New Roman"/>
          <w:color w:val="333333"/>
          <w:shd w:val="clear" w:color="auto" w:fill="FFFFFF"/>
          <w:lang w:val="en-US"/>
        </w:rPr>
        <w:t>n the</w:t>
      </w:r>
      <w:r w:rsidR="00CF1E2E" w:rsidRPr="005217E7">
        <w:rPr>
          <w:rFonts w:ascii="Times" w:eastAsia="Times New Roman" w:hAnsi="Times" w:cs="Times New Roman"/>
          <w:color w:val="333333"/>
          <w:shd w:val="clear" w:color="auto" w:fill="FFFFFF"/>
          <w:lang w:val="en-US"/>
        </w:rPr>
        <w:t xml:space="preserve"> state can be considered successful in </w:t>
      </w:r>
      <w:r w:rsidR="00436E7B" w:rsidRPr="005217E7">
        <w:rPr>
          <w:rFonts w:ascii="Times" w:eastAsia="Times New Roman" w:hAnsi="Times" w:cs="Times New Roman"/>
          <w:color w:val="333333"/>
          <w:shd w:val="clear" w:color="auto" w:fill="FFFFFF"/>
          <w:lang w:val="en-US"/>
        </w:rPr>
        <w:t xml:space="preserve">its </w:t>
      </w:r>
      <w:r w:rsidR="00CF1E2E" w:rsidRPr="005217E7">
        <w:rPr>
          <w:rFonts w:ascii="Times" w:eastAsia="Times New Roman" w:hAnsi="Times" w:cs="Times New Roman"/>
          <w:color w:val="333333"/>
          <w:shd w:val="clear" w:color="auto" w:fill="FFFFFF"/>
          <w:lang w:val="en-US"/>
        </w:rPr>
        <w:t xml:space="preserve">sponsored resettlement program, even though it comes at the cost of deterioration of the host community’s </w:t>
      </w:r>
      <w:r w:rsidR="00F97D47" w:rsidRPr="005217E7">
        <w:rPr>
          <w:rFonts w:ascii="Times" w:eastAsia="Times New Roman" w:hAnsi="Times" w:cs="Times New Roman"/>
          <w:color w:val="333333"/>
          <w:shd w:val="clear" w:color="auto" w:fill="FFFFFF"/>
          <w:lang w:val="en-US"/>
        </w:rPr>
        <w:t>standards of living and culture. As this is the criteria by which they are evaluated it is also the criteria by which the state leaders are considered to be held accountable.</w:t>
      </w:r>
      <w:r w:rsidR="00436E7B" w:rsidRPr="005217E7">
        <w:rPr>
          <w:rFonts w:ascii="Times" w:eastAsia="Times New Roman" w:hAnsi="Times" w:cs="Times New Roman"/>
          <w:color w:val="333333"/>
          <w:shd w:val="clear" w:color="auto" w:fill="FFFFFF"/>
          <w:lang w:val="en-US"/>
        </w:rPr>
        <w:t xml:space="preserve"> </w:t>
      </w:r>
    </w:p>
    <w:p w14:paraId="1103A193" w14:textId="17FD70DA" w:rsidR="00F97D47" w:rsidRPr="005217E7" w:rsidRDefault="00436E7B" w:rsidP="00D043FC">
      <w:pPr>
        <w:spacing w:line="480" w:lineRule="auto"/>
        <w:ind w:firstLine="720"/>
        <w:jc w:val="both"/>
        <w:rPr>
          <w:rFonts w:ascii="Times" w:eastAsia="Times New Roman" w:hAnsi="Times" w:cs="Times New Roman"/>
          <w:color w:val="333333"/>
          <w:shd w:val="clear" w:color="auto" w:fill="FFFFFF"/>
          <w:lang w:val="en-US"/>
        </w:rPr>
      </w:pPr>
      <w:r w:rsidRPr="005217E7">
        <w:rPr>
          <w:rFonts w:ascii="Times" w:eastAsia="Times New Roman" w:hAnsi="Times" w:cs="Times New Roman"/>
          <w:color w:val="333333"/>
          <w:shd w:val="clear" w:color="auto" w:fill="FFFFFF"/>
          <w:lang w:val="en-US"/>
        </w:rPr>
        <w:t>However, let</w:t>
      </w:r>
      <w:r w:rsidR="000A47EC" w:rsidRPr="005217E7">
        <w:rPr>
          <w:rFonts w:ascii="Times" w:eastAsia="Times New Roman" w:hAnsi="Times" w:cs="Times New Roman"/>
          <w:color w:val="333333"/>
          <w:shd w:val="clear" w:color="auto" w:fill="FFFFFF"/>
          <w:lang w:val="en-US"/>
        </w:rPr>
        <w:t xml:space="preserve"> u</w:t>
      </w:r>
      <w:r w:rsidRPr="005217E7">
        <w:rPr>
          <w:rFonts w:ascii="Times" w:eastAsia="Times New Roman" w:hAnsi="Times" w:cs="Times New Roman"/>
          <w:color w:val="333333"/>
          <w:shd w:val="clear" w:color="auto" w:fill="FFFFFF"/>
          <w:lang w:val="en-US"/>
        </w:rPr>
        <w:t xml:space="preserve">s </w:t>
      </w:r>
      <w:r w:rsidR="00E42E53" w:rsidRPr="005217E7">
        <w:rPr>
          <w:rFonts w:ascii="Times" w:eastAsia="Times New Roman" w:hAnsi="Times" w:cs="Times New Roman"/>
          <w:color w:val="333333"/>
          <w:shd w:val="clear" w:color="auto" w:fill="FFFFFF"/>
          <w:lang w:val="en-US"/>
        </w:rPr>
        <w:t xml:space="preserve">take a step back from the example of Indonesia in order to explore alternative scenarios. Although the case of Indonesia lends itself as a great illustration of how </w:t>
      </w:r>
      <w:r w:rsidR="00E42E53" w:rsidRPr="005217E7">
        <w:rPr>
          <w:rFonts w:ascii="Times" w:eastAsia="Times New Roman" w:hAnsi="Times" w:cs="Times New Roman"/>
          <w:color w:val="333333"/>
          <w:shd w:val="clear" w:color="auto" w:fill="FFFFFF"/>
          <w:lang w:val="en-US"/>
        </w:rPr>
        <w:lastRenderedPageBreak/>
        <w:t>accountability issues might</w:t>
      </w:r>
      <w:r w:rsidR="00E42E53" w:rsidRPr="005217E7">
        <w:rPr>
          <w:rFonts w:ascii="Times" w:eastAsia="Times New Roman" w:hAnsi="Times" w:cs="Times New Roman"/>
          <w:color w:val="333333"/>
          <w:shd w:val="clear" w:color="auto" w:fill="FFFFFF"/>
        </w:rPr>
        <w:t xml:space="preserve"> bias the state in favor of the migrants</w:t>
      </w:r>
      <w:r w:rsidR="00E42E53" w:rsidRPr="005217E7">
        <w:rPr>
          <w:rFonts w:ascii="Times" w:eastAsia="Times New Roman" w:hAnsi="Times" w:cs="Times New Roman"/>
          <w:color w:val="333333"/>
          <w:shd w:val="clear" w:color="auto" w:fill="FFFFFF"/>
          <w:lang w:val="en-US"/>
        </w:rPr>
        <w:t xml:space="preserve">, it also has limitations for understanding the complexity of the problem. This is due to one of the program’s aims being the consolidation of the Javanese power over the outer islands through cultural assimilation and homogenization. Not every resettlement program has the aim of deliberately disrupting the host community’s way of life, consequently playing havoc with their cultural and ethnic heritage. Rather, the </w:t>
      </w:r>
      <w:r w:rsidR="000A47EC" w:rsidRPr="005217E7">
        <w:rPr>
          <w:rFonts w:ascii="Times" w:eastAsia="Times New Roman" w:hAnsi="Times" w:cs="Times New Roman"/>
          <w:color w:val="333333"/>
          <w:shd w:val="clear" w:color="auto" w:fill="FFFFFF"/>
          <w:lang w:val="en-US"/>
        </w:rPr>
        <w:t>“clients”</w:t>
      </w:r>
      <w:r w:rsidR="00E42E53" w:rsidRPr="005217E7">
        <w:rPr>
          <w:rFonts w:ascii="Times" w:eastAsia="Times New Roman" w:hAnsi="Times" w:cs="Times New Roman"/>
          <w:color w:val="333333"/>
          <w:shd w:val="clear" w:color="auto" w:fill="FFFFFF"/>
          <w:lang w:val="en-US"/>
        </w:rPr>
        <w:t xml:space="preserve"> might be resettled with the aim of protecting them from natural disasters, </w:t>
      </w:r>
      <w:r w:rsidR="000A47EC" w:rsidRPr="005217E7">
        <w:rPr>
          <w:rFonts w:ascii="Times" w:eastAsia="Times New Roman" w:hAnsi="Times" w:cs="Times New Roman"/>
          <w:color w:val="333333"/>
          <w:shd w:val="clear" w:color="auto" w:fill="FFFFFF"/>
          <w:lang w:val="en-US"/>
        </w:rPr>
        <w:t>like</w:t>
      </w:r>
      <w:r w:rsidR="00E42E53" w:rsidRPr="005217E7">
        <w:rPr>
          <w:rFonts w:ascii="Times" w:eastAsia="Times New Roman" w:hAnsi="Times" w:cs="Times New Roman"/>
          <w:color w:val="333333"/>
          <w:shd w:val="clear" w:color="auto" w:fill="FFFFFF"/>
          <w:lang w:val="en-US"/>
        </w:rPr>
        <w:t xml:space="preserve"> the case in Sri Lanka</w:t>
      </w:r>
      <w:r w:rsidR="000A47EC" w:rsidRPr="005217E7">
        <w:rPr>
          <w:rFonts w:ascii="Times" w:eastAsia="Times New Roman" w:hAnsi="Times" w:cs="Times New Roman"/>
          <w:color w:val="333333"/>
          <w:shd w:val="clear" w:color="auto" w:fill="FFFFFF"/>
          <w:lang w:val="en-US"/>
        </w:rPr>
        <w:t xml:space="preserve"> as part of a flood risk reduction strategy,</w:t>
      </w:r>
      <w:r w:rsidR="000A47EC" w:rsidRPr="005217E7">
        <w:rPr>
          <w:rStyle w:val="FootnoteReference"/>
          <w:rFonts w:ascii="Times" w:eastAsia="Times New Roman" w:hAnsi="Times" w:cs="Times New Roman"/>
          <w:color w:val="333333"/>
          <w:shd w:val="clear" w:color="auto" w:fill="FFFFFF"/>
          <w:lang w:val="en-US"/>
        </w:rPr>
        <w:footnoteReference w:id="5"/>
      </w:r>
      <w:r w:rsidR="000A47EC" w:rsidRPr="005217E7">
        <w:rPr>
          <w:rFonts w:ascii="Times" w:eastAsia="Times New Roman" w:hAnsi="Times" w:cs="Times New Roman"/>
          <w:color w:val="333333"/>
          <w:shd w:val="clear" w:color="auto" w:fill="FFFFFF"/>
          <w:lang w:val="en-US"/>
        </w:rPr>
        <w:t>or because of grand infrastructure projects such as the Sardar Sarovar dam,</w:t>
      </w:r>
      <w:r w:rsidR="000A47EC" w:rsidRPr="005217E7">
        <w:rPr>
          <w:rStyle w:val="FootnoteReference"/>
          <w:rFonts w:ascii="Times" w:eastAsia="Times New Roman" w:hAnsi="Times" w:cs="Times New Roman"/>
          <w:color w:val="333333"/>
          <w:shd w:val="clear" w:color="auto" w:fill="FFFFFF"/>
          <w:lang w:val="en-US"/>
        </w:rPr>
        <w:footnoteReference w:id="6"/>
      </w:r>
      <w:r w:rsidR="000A47EC" w:rsidRPr="005217E7">
        <w:rPr>
          <w:rFonts w:ascii="Times" w:eastAsia="Times New Roman" w:hAnsi="Times" w:cs="Times New Roman"/>
          <w:color w:val="333333"/>
          <w:shd w:val="clear" w:color="auto" w:fill="FFFFFF"/>
          <w:lang w:val="en-US"/>
        </w:rPr>
        <w:t xml:space="preserve"> effectively trying to improve the livelihood of the people displaced, be it voluntary or not.</w:t>
      </w:r>
    </w:p>
    <w:p w14:paraId="2874E444" w14:textId="18859810" w:rsidR="000A47EC" w:rsidRPr="005217E7" w:rsidRDefault="000A47EC" w:rsidP="00D043FC">
      <w:pPr>
        <w:spacing w:line="480" w:lineRule="auto"/>
        <w:ind w:firstLine="720"/>
        <w:jc w:val="both"/>
        <w:rPr>
          <w:rFonts w:ascii="Times" w:eastAsia="Times New Roman" w:hAnsi="Times" w:cs="Times New Roman"/>
          <w:color w:val="333333"/>
          <w:shd w:val="clear" w:color="auto" w:fill="FFFFFF"/>
          <w:lang w:val="en-US"/>
        </w:rPr>
      </w:pPr>
      <w:r w:rsidRPr="005217E7">
        <w:rPr>
          <w:rFonts w:ascii="Times" w:eastAsia="Times New Roman" w:hAnsi="Times" w:cs="Times New Roman"/>
          <w:color w:val="333333"/>
          <w:shd w:val="clear" w:color="auto" w:fill="FFFFFF"/>
          <w:lang w:val="en-US"/>
        </w:rPr>
        <w:t xml:space="preserve">Let us say that </w:t>
      </w:r>
      <w:r w:rsidR="00D45394" w:rsidRPr="005217E7">
        <w:rPr>
          <w:rFonts w:ascii="Times" w:eastAsia="Times New Roman" w:hAnsi="Times" w:cs="Times New Roman"/>
          <w:color w:val="333333"/>
          <w:shd w:val="clear" w:color="auto" w:fill="FFFFFF"/>
          <w:lang w:val="en-US"/>
        </w:rPr>
        <w:t xml:space="preserve">government x comes up with a large-scale development program to help with the improvement of living standards of people living on the periphery of said country. </w:t>
      </w:r>
      <w:r w:rsidR="00241D7D" w:rsidRPr="005217E7">
        <w:rPr>
          <w:rFonts w:ascii="Times" w:eastAsia="Times New Roman" w:hAnsi="Times" w:cs="Times New Roman"/>
          <w:color w:val="333333"/>
          <w:shd w:val="clear" w:color="auto" w:fill="FFFFFF"/>
          <w:lang w:val="en-US"/>
        </w:rPr>
        <w:t>As a part of this program, the state decides to resettle tens of thousands of people from the impoverished areas of the country to a region where the government is able to provide them with better social services such as but not limited to healthcare and education. Furthermore, the government is going to provide a piece of land to the migrants for them to provide for themselves through agriculture. Now, country x is very ethnically diverse, and the clients of the program do not share cultural similarities with the host community. Violent clashes between the groups break out</w:t>
      </w:r>
      <w:r w:rsidR="00FF503E" w:rsidRPr="005217E7">
        <w:rPr>
          <w:rFonts w:ascii="Times" w:eastAsia="Times New Roman" w:hAnsi="Times" w:cs="Times New Roman"/>
          <w:color w:val="333333"/>
          <w:shd w:val="clear" w:color="auto" w:fill="FFFFFF"/>
          <w:lang w:val="en-US"/>
        </w:rPr>
        <w:t xml:space="preserve"> because the displaced people are perceived as a security threat, they compete for limited resources and the host community claims they contribute to the growth of an informal economy. </w:t>
      </w:r>
      <w:r w:rsidR="00241D7D" w:rsidRPr="005217E7">
        <w:rPr>
          <w:rFonts w:ascii="Times" w:eastAsia="Times New Roman" w:hAnsi="Times" w:cs="Times New Roman"/>
          <w:color w:val="333333"/>
          <w:shd w:val="clear" w:color="auto" w:fill="FFFFFF"/>
          <w:lang w:val="en-US"/>
        </w:rPr>
        <w:t>Who is held accountable for the breakout of violence and what should be the stance of the state?</w:t>
      </w:r>
    </w:p>
    <w:p w14:paraId="7FA4BDC1" w14:textId="1E6E8FC3" w:rsidR="000D5D77" w:rsidRPr="005217E7" w:rsidRDefault="00D043FC" w:rsidP="000D5D77">
      <w:pPr>
        <w:spacing w:line="480" w:lineRule="auto"/>
        <w:ind w:firstLine="720"/>
        <w:jc w:val="both"/>
        <w:rPr>
          <w:rFonts w:ascii="Times" w:eastAsia="Times New Roman" w:hAnsi="Times" w:cs="Times New Roman"/>
          <w:color w:val="333333"/>
          <w:shd w:val="clear" w:color="auto" w:fill="FFFFFF"/>
          <w:lang w:val="en-US"/>
        </w:rPr>
      </w:pPr>
      <w:r w:rsidRPr="005217E7">
        <w:rPr>
          <w:rFonts w:ascii="Times" w:eastAsia="Times New Roman" w:hAnsi="Times" w:cs="Times New Roman"/>
          <w:color w:val="333333"/>
          <w:shd w:val="clear" w:color="auto" w:fill="FFFFFF"/>
          <w:lang w:val="en-US"/>
        </w:rPr>
        <w:lastRenderedPageBreak/>
        <w:t xml:space="preserve">In order to answer the question, it is important to consider </w:t>
      </w:r>
      <w:r w:rsidR="000D5D77" w:rsidRPr="005217E7">
        <w:rPr>
          <w:rFonts w:ascii="Times" w:eastAsia="Times New Roman" w:hAnsi="Times" w:cs="Times New Roman"/>
          <w:color w:val="333333"/>
          <w:shd w:val="clear" w:color="auto" w:fill="FFFFFF"/>
          <w:lang w:val="en-US"/>
        </w:rPr>
        <w:t xml:space="preserve">what the government being held accountable for. The aim of the program was to expand access to public services through resettlement. The government has succeeded in moving thousands of people to a host community where they have increased access to the aforementioned programs. Even though there is violent conflict due to the resettlement, the basis on what the success of the program is judged upon is to a large extent independent from the violent aftermath. </w:t>
      </w:r>
      <w:r w:rsidR="00AF73D5" w:rsidRPr="005217E7">
        <w:rPr>
          <w:rFonts w:ascii="Times" w:eastAsia="Times New Roman" w:hAnsi="Times" w:cs="Times New Roman"/>
          <w:color w:val="333333"/>
          <w:shd w:val="clear" w:color="auto" w:fill="FFFFFF"/>
          <w:lang w:val="en-US"/>
        </w:rPr>
        <w:t xml:space="preserve">The state is held accountable for the established aim of the program and in this hypothetical case, this has been fulfilled. </w:t>
      </w:r>
    </w:p>
    <w:p w14:paraId="706F96FA" w14:textId="77777777" w:rsidR="00704212" w:rsidRPr="005217E7" w:rsidRDefault="00AF73D5" w:rsidP="000D5D77">
      <w:pPr>
        <w:spacing w:line="480" w:lineRule="auto"/>
        <w:ind w:firstLine="720"/>
        <w:jc w:val="both"/>
        <w:rPr>
          <w:rFonts w:ascii="Times" w:eastAsia="Times New Roman" w:hAnsi="Times" w:cs="Times New Roman"/>
          <w:color w:val="333333"/>
          <w:shd w:val="clear" w:color="auto" w:fill="FFFFFF"/>
          <w:lang w:val="en-US"/>
        </w:rPr>
      </w:pPr>
      <w:r w:rsidRPr="005217E7">
        <w:rPr>
          <w:rFonts w:ascii="Times" w:eastAsia="Times New Roman" w:hAnsi="Times" w:cs="Times New Roman"/>
          <w:color w:val="333333"/>
          <w:shd w:val="clear" w:color="auto" w:fill="FFFFFF"/>
          <w:lang w:val="en-US"/>
        </w:rPr>
        <w:t xml:space="preserve">In the case that the violent conflict that emerged between the clients and the host community becomes significant enough that there is public backlash, it is in the interest of the state to support the migrants compared to the host community. This is due to the legislators being aware of the possibility of being held accountable for creating the environment for a violent clash to break out, directly affecting the integrity and credibility of the government resettlement program. </w:t>
      </w:r>
      <w:r w:rsidR="002C4FB2" w:rsidRPr="005217E7">
        <w:rPr>
          <w:rFonts w:ascii="Times" w:eastAsia="Times New Roman" w:hAnsi="Times" w:cs="Times New Roman"/>
          <w:color w:val="333333"/>
          <w:shd w:val="clear" w:color="auto" w:fill="FFFFFF"/>
          <w:lang w:val="en-US"/>
        </w:rPr>
        <w:t>By blaming the host community for the breakout of the violence, the state would effectively detract from the culpability of the state and the migrants in contributing to the outcome. Furthermore, the state could</w:t>
      </w:r>
      <w:r w:rsidR="003C2A4F" w:rsidRPr="005217E7">
        <w:rPr>
          <w:rFonts w:ascii="Times" w:eastAsia="Times New Roman" w:hAnsi="Times" w:cs="Times New Roman"/>
          <w:color w:val="333333"/>
          <w:shd w:val="clear" w:color="auto" w:fill="FFFFFF"/>
          <w:lang w:val="en-US"/>
        </w:rPr>
        <w:t xml:space="preserve"> take further</w:t>
      </w:r>
      <w:r w:rsidR="002C4FB2" w:rsidRPr="005217E7">
        <w:rPr>
          <w:rFonts w:ascii="Times" w:eastAsia="Times New Roman" w:hAnsi="Times" w:cs="Times New Roman"/>
          <w:color w:val="333333"/>
          <w:shd w:val="clear" w:color="auto" w:fill="FFFFFF"/>
          <w:lang w:val="en-US"/>
        </w:rPr>
        <w:t xml:space="preserve"> actions such as </w:t>
      </w:r>
      <w:r w:rsidR="003C2A4F" w:rsidRPr="005217E7">
        <w:rPr>
          <w:rFonts w:ascii="Times" w:eastAsia="Times New Roman" w:hAnsi="Times" w:cs="Times New Roman"/>
          <w:color w:val="333333"/>
          <w:shd w:val="clear" w:color="auto" w:fill="FFFFFF"/>
          <w:lang w:val="en-US"/>
        </w:rPr>
        <w:t xml:space="preserve">arresting people and or holding show trials in order to shift blame on to the host community lessening the issues related to accountability as it would seem that the host community was behind the “unnecessary” violence. </w:t>
      </w:r>
    </w:p>
    <w:p w14:paraId="657364F8" w14:textId="7A1D6276" w:rsidR="00FF503E" w:rsidRPr="005217E7" w:rsidRDefault="003C2A4F" w:rsidP="00704212">
      <w:pPr>
        <w:spacing w:line="480" w:lineRule="auto"/>
        <w:ind w:firstLine="720"/>
        <w:jc w:val="both"/>
        <w:rPr>
          <w:rFonts w:ascii="Times" w:eastAsia="Times New Roman" w:hAnsi="Times" w:cs="Times New Roman"/>
          <w:color w:val="333333"/>
          <w:shd w:val="clear" w:color="auto" w:fill="FFFFFF"/>
          <w:lang w:val="en-US"/>
        </w:rPr>
      </w:pPr>
      <w:r w:rsidRPr="005217E7">
        <w:rPr>
          <w:rFonts w:ascii="Times" w:eastAsia="Times New Roman" w:hAnsi="Times" w:cs="Times New Roman"/>
          <w:color w:val="333333"/>
          <w:shd w:val="clear" w:color="auto" w:fill="FFFFFF"/>
          <w:lang w:val="en-US"/>
        </w:rPr>
        <w:t>A connection can be drawn between the state’s response and attribution theory</w:t>
      </w:r>
      <w:r w:rsidR="00704212" w:rsidRPr="005217E7">
        <w:rPr>
          <w:rFonts w:ascii="Times" w:eastAsia="Times New Roman" w:hAnsi="Times" w:cs="Times New Roman"/>
          <w:color w:val="333333"/>
          <w:shd w:val="clear" w:color="auto" w:fill="FFFFFF"/>
          <w:lang w:val="en-US"/>
        </w:rPr>
        <w:t>, which posits that w</w:t>
      </w:r>
      <w:r w:rsidR="00704212" w:rsidRPr="005217E7">
        <w:rPr>
          <w:rFonts w:ascii="Times" w:eastAsia="Times New Roman" w:hAnsi="Times" w:cs="Times New Roman"/>
          <w:color w:val="333333"/>
          <w:shd w:val="clear" w:color="auto" w:fill="FFFFFF"/>
          <w:lang w:val="en-US"/>
        </w:rPr>
        <w:t xml:space="preserve">hen things go wrong, people's bad behavior is often attributed to their traits, while one's own </w:t>
      </w:r>
      <w:r w:rsidR="00704212" w:rsidRPr="005217E7">
        <w:rPr>
          <w:rFonts w:ascii="Times" w:eastAsia="Times New Roman" w:hAnsi="Times" w:cs="Times New Roman"/>
          <w:color w:val="333333"/>
          <w:shd w:val="clear" w:color="auto" w:fill="FFFFFF"/>
          <w:lang w:val="en-US"/>
        </w:rPr>
        <w:t>actions</w:t>
      </w:r>
      <w:r w:rsidR="00704212" w:rsidRPr="005217E7">
        <w:rPr>
          <w:rFonts w:ascii="Times" w:eastAsia="Times New Roman" w:hAnsi="Times" w:cs="Times New Roman"/>
          <w:color w:val="333333"/>
          <w:shd w:val="clear" w:color="auto" w:fill="FFFFFF"/>
          <w:lang w:val="en-US"/>
        </w:rPr>
        <w:t xml:space="preserve"> </w:t>
      </w:r>
      <w:r w:rsidR="00704212" w:rsidRPr="005217E7">
        <w:rPr>
          <w:rFonts w:ascii="Times" w:eastAsia="Times New Roman" w:hAnsi="Times" w:cs="Times New Roman"/>
          <w:color w:val="333333"/>
          <w:shd w:val="clear" w:color="auto" w:fill="FFFFFF"/>
          <w:lang w:val="en-US"/>
        </w:rPr>
        <w:t>are</w:t>
      </w:r>
      <w:r w:rsidR="00704212" w:rsidRPr="005217E7">
        <w:rPr>
          <w:rFonts w:ascii="Times" w:eastAsia="Times New Roman" w:hAnsi="Times" w:cs="Times New Roman"/>
          <w:color w:val="333333"/>
          <w:shd w:val="clear" w:color="auto" w:fill="FFFFFF"/>
          <w:lang w:val="en-US"/>
        </w:rPr>
        <w:t xml:space="preserve"> attributed to circumstances.</w:t>
      </w:r>
      <w:r w:rsidR="00704212" w:rsidRPr="005217E7">
        <w:rPr>
          <w:rStyle w:val="FootnoteReference"/>
          <w:rFonts w:ascii="Times" w:eastAsia="Times New Roman" w:hAnsi="Times" w:cs="Times New Roman"/>
          <w:color w:val="333333"/>
          <w:shd w:val="clear" w:color="auto" w:fill="FFFFFF"/>
          <w:lang w:val="en-US"/>
        </w:rPr>
        <w:footnoteReference w:id="7"/>
      </w:r>
      <w:r w:rsidR="00704212" w:rsidRPr="005217E7">
        <w:rPr>
          <w:rFonts w:ascii="Times" w:eastAsia="Times New Roman" w:hAnsi="Times" w:cs="Times New Roman"/>
          <w:color w:val="333333"/>
          <w:shd w:val="clear" w:color="auto" w:fill="FFFFFF"/>
          <w:lang w:val="en-US"/>
        </w:rPr>
        <w:t xml:space="preserve"> In this case the state would be saying that these circumstances were unexpected and not it’s fault but rather it is the general animosity and </w:t>
      </w:r>
      <w:r w:rsidR="00704212" w:rsidRPr="005217E7">
        <w:rPr>
          <w:rFonts w:ascii="Times" w:eastAsia="Times New Roman" w:hAnsi="Times" w:cs="Times New Roman"/>
          <w:color w:val="333333"/>
          <w:shd w:val="clear" w:color="auto" w:fill="FFFFFF"/>
          <w:lang w:val="en-US"/>
        </w:rPr>
        <w:lastRenderedPageBreak/>
        <w:t xml:space="preserve">aggressiveness of the host community that has led to the violent conflict between the two sides. This </w:t>
      </w:r>
      <w:r w:rsidR="00704212" w:rsidRPr="005217E7">
        <w:rPr>
          <w:rFonts w:ascii="Times" w:eastAsia="Times New Roman" w:hAnsi="Times" w:cs="Times New Roman"/>
          <w:color w:val="333333"/>
          <w:shd w:val="clear" w:color="auto" w:fill="FFFFFF"/>
          <w:lang w:val="en-US"/>
        </w:rPr>
        <w:t xml:space="preserve">can confirm a sincere, if mistaken, conviction that the government's policy and actions were </w:t>
      </w:r>
      <w:r w:rsidR="00704212" w:rsidRPr="005217E7">
        <w:rPr>
          <w:rFonts w:ascii="Times" w:eastAsia="Times New Roman" w:hAnsi="Times" w:cs="Times New Roman"/>
          <w:color w:val="333333"/>
          <w:shd w:val="clear" w:color="auto" w:fill="FFFFFF"/>
          <w:lang w:val="en-US"/>
        </w:rPr>
        <w:t>appropriate.</w:t>
      </w:r>
      <w:r w:rsidR="00704212" w:rsidRPr="005217E7">
        <w:rPr>
          <w:rStyle w:val="FootnoteReference"/>
          <w:rFonts w:ascii="Times" w:eastAsia="Times New Roman" w:hAnsi="Times" w:cs="Times New Roman"/>
          <w:color w:val="333333"/>
          <w:shd w:val="clear" w:color="auto" w:fill="FFFFFF"/>
          <w:lang w:val="en-US"/>
        </w:rPr>
        <w:footnoteReference w:id="8"/>
      </w:r>
    </w:p>
    <w:p w14:paraId="78D65920" w14:textId="452D6E70" w:rsidR="00704212" w:rsidRDefault="005217E7" w:rsidP="005217E7">
      <w:pPr>
        <w:spacing w:line="480" w:lineRule="auto"/>
        <w:ind w:firstLine="720"/>
        <w:jc w:val="both"/>
        <w:rPr>
          <w:rFonts w:ascii="Times" w:eastAsia="Times New Roman" w:hAnsi="Times" w:cs="Times New Roman"/>
          <w:color w:val="333333"/>
          <w:shd w:val="clear" w:color="auto" w:fill="FFFFFF"/>
          <w:lang w:val="en-US"/>
        </w:rPr>
      </w:pPr>
      <w:r w:rsidRPr="005217E7">
        <w:rPr>
          <w:rFonts w:ascii="Times" w:eastAsia="Times New Roman" w:hAnsi="Times" w:cs="Times New Roman"/>
          <w:color w:val="333333"/>
          <w:shd w:val="clear" w:color="auto" w:fill="FFFFFF"/>
          <w:lang w:val="en-US"/>
        </w:rPr>
        <w:t>Through the example of Indonesia and the hypothetical proposed, it becomes clear, why the state may favor the migrants over the host community. The key reason in accountability, as it is a constant concern for statesmen in the type of decisions they make and in the way they act in moment</w:t>
      </w:r>
      <w:r>
        <w:rPr>
          <w:rFonts w:ascii="Times" w:eastAsia="Times New Roman" w:hAnsi="Times" w:cs="Times New Roman"/>
          <w:color w:val="333333"/>
          <w:shd w:val="clear" w:color="auto" w:fill="FFFFFF"/>
          <w:lang w:val="en-US"/>
        </w:rPr>
        <w:t>s</w:t>
      </w:r>
      <w:r w:rsidRPr="005217E7">
        <w:rPr>
          <w:rFonts w:ascii="Times" w:eastAsia="Times New Roman" w:hAnsi="Times" w:cs="Times New Roman"/>
          <w:color w:val="333333"/>
          <w:shd w:val="clear" w:color="auto" w:fill="FFFFFF"/>
          <w:lang w:val="en-US"/>
        </w:rPr>
        <w:t xml:space="preserve"> that they consider to be crucial for their livelihood as elected or appointed officials.</w:t>
      </w:r>
    </w:p>
    <w:p w14:paraId="7AF2A303" w14:textId="77777777" w:rsidR="005217E7" w:rsidRPr="005217E7" w:rsidRDefault="005217E7" w:rsidP="005217E7">
      <w:pPr>
        <w:spacing w:line="480" w:lineRule="auto"/>
        <w:ind w:firstLine="720"/>
        <w:jc w:val="both"/>
        <w:rPr>
          <w:rFonts w:ascii="Times" w:eastAsia="Times New Roman" w:hAnsi="Times" w:cs="Times New Roman"/>
          <w:color w:val="333333"/>
          <w:shd w:val="clear" w:color="auto" w:fill="FFFFFF"/>
          <w:lang w:val="en-US"/>
        </w:rPr>
      </w:pPr>
    </w:p>
    <w:p w14:paraId="15A8BDFD" w14:textId="4634FEBD" w:rsidR="00704212" w:rsidRPr="005217E7" w:rsidRDefault="00704212" w:rsidP="00704212">
      <w:pPr>
        <w:spacing w:line="480" w:lineRule="auto"/>
        <w:ind w:firstLine="720"/>
        <w:jc w:val="center"/>
        <w:rPr>
          <w:rFonts w:ascii="Times" w:eastAsia="Times New Roman" w:hAnsi="Times" w:cs="Times New Roman"/>
          <w:b/>
          <w:bCs/>
          <w:color w:val="333333"/>
          <w:shd w:val="clear" w:color="auto" w:fill="FFFFFF"/>
          <w:lang w:val="en-US"/>
        </w:rPr>
      </w:pPr>
      <w:r w:rsidRPr="005217E7">
        <w:rPr>
          <w:rFonts w:ascii="Times" w:eastAsia="Times New Roman" w:hAnsi="Times" w:cs="Times New Roman"/>
          <w:b/>
          <w:bCs/>
          <w:color w:val="333333"/>
          <w:shd w:val="clear" w:color="auto" w:fill="FFFFFF"/>
          <w:lang w:val="en-US"/>
        </w:rPr>
        <w:t>Works Cited</w:t>
      </w:r>
    </w:p>
    <w:p w14:paraId="368759EB" w14:textId="77777777" w:rsidR="00704212" w:rsidRPr="005217E7" w:rsidRDefault="00704212" w:rsidP="00704212">
      <w:pPr>
        <w:pStyle w:val="Bibliography"/>
        <w:rPr>
          <w:rFonts w:ascii="Times" w:hAnsi="Times" w:cs="Times New Roman"/>
          <w:color w:val="000000"/>
          <w:lang w:val="en-US"/>
        </w:rPr>
      </w:pPr>
      <w:r w:rsidRPr="005217E7">
        <w:rPr>
          <w:rFonts w:ascii="Times" w:eastAsia="Times New Roman" w:hAnsi="Times"/>
          <w:color w:val="333333"/>
          <w:shd w:val="clear" w:color="auto" w:fill="FFFFFF"/>
          <w:lang w:val="en-US"/>
        </w:rPr>
        <w:fldChar w:fldCharType="begin"/>
      </w:r>
      <w:r w:rsidRPr="005217E7">
        <w:rPr>
          <w:rFonts w:ascii="Times" w:eastAsia="Times New Roman" w:hAnsi="Times"/>
          <w:color w:val="333333"/>
          <w:shd w:val="clear" w:color="auto" w:fill="FFFFFF"/>
          <w:lang w:val="en-US"/>
        </w:rPr>
        <w:instrText xml:space="preserve"> ADDIN ZOTERO_BIBL {"uncited":[],"omitted":[],"custom":[]} CSL_BIBLIOGRAPHY </w:instrText>
      </w:r>
      <w:r w:rsidRPr="005217E7">
        <w:rPr>
          <w:rFonts w:ascii="Times" w:eastAsia="Times New Roman" w:hAnsi="Times"/>
          <w:color w:val="333333"/>
          <w:shd w:val="clear" w:color="auto" w:fill="FFFFFF"/>
          <w:lang w:val="en-US"/>
        </w:rPr>
        <w:fldChar w:fldCharType="separate"/>
      </w:r>
      <w:r w:rsidRPr="005217E7">
        <w:rPr>
          <w:rFonts w:ascii="Times" w:hAnsi="Times" w:cs="Times New Roman"/>
          <w:color w:val="000000"/>
          <w:lang w:val="en-US"/>
        </w:rPr>
        <w:t xml:space="preserve">Dwivedi, Ranjit. “Displacement, Risks and Resistance: Local Perceptions and Actions in the Sardar Sarovar.” </w:t>
      </w:r>
      <w:r w:rsidRPr="005217E7">
        <w:rPr>
          <w:rFonts w:ascii="Times" w:hAnsi="Times" w:cs="Times New Roman"/>
          <w:i/>
          <w:iCs/>
          <w:color w:val="000000"/>
          <w:lang w:val="en-US"/>
        </w:rPr>
        <w:t>Development and Change</w:t>
      </w:r>
      <w:r w:rsidRPr="005217E7">
        <w:rPr>
          <w:rFonts w:ascii="Times" w:hAnsi="Times" w:cs="Times New Roman"/>
          <w:color w:val="000000"/>
          <w:lang w:val="en-US"/>
        </w:rPr>
        <w:t xml:space="preserve"> 30, no. 1 (January 1999): 43–78. https://doi.org/10.1111/1467-7660.00107.</w:t>
      </w:r>
    </w:p>
    <w:p w14:paraId="01916D2F" w14:textId="77777777" w:rsidR="00704212" w:rsidRPr="005217E7" w:rsidRDefault="00704212" w:rsidP="00704212">
      <w:pPr>
        <w:pStyle w:val="Bibliography"/>
        <w:rPr>
          <w:rFonts w:ascii="Times" w:hAnsi="Times" w:cs="Times New Roman"/>
          <w:color w:val="000000"/>
          <w:lang w:val="en-US"/>
        </w:rPr>
      </w:pPr>
      <w:proofErr w:type="spellStart"/>
      <w:r w:rsidRPr="005217E7">
        <w:rPr>
          <w:rFonts w:ascii="Times" w:hAnsi="Times" w:cs="Times New Roman"/>
          <w:color w:val="000000"/>
          <w:lang w:val="en-US"/>
        </w:rPr>
        <w:t>Fearnside</w:t>
      </w:r>
      <w:proofErr w:type="spellEnd"/>
      <w:r w:rsidRPr="005217E7">
        <w:rPr>
          <w:rFonts w:ascii="Times" w:hAnsi="Times" w:cs="Times New Roman"/>
          <w:color w:val="000000"/>
          <w:lang w:val="en-US"/>
        </w:rPr>
        <w:t xml:space="preserve">, Philip M. “Transmigration in Indonesia: Lessons from Its Environmental and Social Impacts.” </w:t>
      </w:r>
      <w:r w:rsidRPr="005217E7">
        <w:rPr>
          <w:rFonts w:ascii="Times" w:hAnsi="Times" w:cs="Times New Roman"/>
          <w:i/>
          <w:iCs/>
          <w:color w:val="000000"/>
          <w:lang w:val="en-US"/>
        </w:rPr>
        <w:t>Environmental Management</w:t>
      </w:r>
      <w:r w:rsidRPr="005217E7">
        <w:rPr>
          <w:rFonts w:ascii="Times" w:hAnsi="Times" w:cs="Times New Roman"/>
          <w:color w:val="000000"/>
          <w:lang w:val="en-US"/>
        </w:rPr>
        <w:t xml:space="preserve"> 21, no. 4 (July 1, 1997): 553–70. https://doi.org/10.1007/s002679900049.</w:t>
      </w:r>
    </w:p>
    <w:p w14:paraId="43164B43" w14:textId="77777777" w:rsidR="00704212" w:rsidRPr="005217E7" w:rsidRDefault="00704212" w:rsidP="00704212">
      <w:pPr>
        <w:pStyle w:val="Bibliography"/>
        <w:rPr>
          <w:rFonts w:ascii="Times" w:hAnsi="Times" w:cs="Times New Roman"/>
          <w:color w:val="000000"/>
          <w:lang w:val="en-US"/>
        </w:rPr>
      </w:pPr>
      <w:r w:rsidRPr="005217E7">
        <w:rPr>
          <w:rFonts w:ascii="Times" w:hAnsi="Times" w:cs="Times New Roman"/>
          <w:color w:val="000000"/>
          <w:lang w:val="en-US"/>
        </w:rPr>
        <w:t xml:space="preserve">Fernando, </w:t>
      </w:r>
      <w:proofErr w:type="spellStart"/>
      <w:r w:rsidRPr="005217E7">
        <w:rPr>
          <w:rFonts w:ascii="Times" w:hAnsi="Times" w:cs="Times New Roman"/>
          <w:color w:val="000000"/>
          <w:lang w:val="en-US"/>
        </w:rPr>
        <w:t>Nishara</w:t>
      </w:r>
      <w:proofErr w:type="spellEnd"/>
      <w:r w:rsidRPr="005217E7">
        <w:rPr>
          <w:rFonts w:ascii="Times" w:hAnsi="Times" w:cs="Times New Roman"/>
          <w:color w:val="000000"/>
          <w:lang w:val="en-US"/>
        </w:rPr>
        <w:t xml:space="preserve">. “Voluntary or Involuntary Relocation of Underserved Settlers in the City of Colombo as a Flood Risk Reduction Strategy: A Case Study of Three Relocation Projects.” </w:t>
      </w:r>
      <w:r w:rsidRPr="005217E7">
        <w:rPr>
          <w:rFonts w:ascii="Times" w:hAnsi="Times" w:cs="Times New Roman"/>
          <w:i/>
          <w:iCs/>
          <w:color w:val="000000"/>
          <w:lang w:val="en-US"/>
        </w:rPr>
        <w:t>Procedia Engineering</w:t>
      </w:r>
      <w:r w:rsidRPr="005217E7">
        <w:rPr>
          <w:rFonts w:ascii="Times" w:hAnsi="Times" w:cs="Times New Roman"/>
          <w:color w:val="000000"/>
          <w:lang w:val="en-US"/>
        </w:rPr>
        <w:t xml:space="preserve"> 212 (2018): 1026–33. https://doi.org/10.1016/j.proeng.2018.01.132.</w:t>
      </w:r>
    </w:p>
    <w:p w14:paraId="4952231B" w14:textId="77777777" w:rsidR="00704212" w:rsidRPr="005217E7" w:rsidRDefault="00704212" w:rsidP="00704212">
      <w:pPr>
        <w:pStyle w:val="Bibliography"/>
        <w:rPr>
          <w:rFonts w:ascii="Times" w:hAnsi="Times" w:cs="Times New Roman"/>
          <w:color w:val="000000"/>
          <w:lang w:val="en-US"/>
        </w:rPr>
      </w:pPr>
      <w:r w:rsidRPr="005217E7">
        <w:rPr>
          <w:rFonts w:ascii="Times" w:hAnsi="Times" w:cs="Times New Roman"/>
          <w:color w:val="000000"/>
          <w:lang w:val="en-US"/>
        </w:rPr>
        <w:t xml:space="preserve">Heider, Fritz. </w:t>
      </w:r>
      <w:r w:rsidRPr="005217E7">
        <w:rPr>
          <w:rFonts w:ascii="Times" w:hAnsi="Times" w:cs="Times New Roman"/>
          <w:i/>
          <w:iCs/>
          <w:color w:val="000000"/>
          <w:lang w:val="en-US"/>
        </w:rPr>
        <w:t>The Psychology of Interpersonal Relations.</w:t>
      </w:r>
      <w:r w:rsidRPr="005217E7">
        <w:rPr>
          <w:rFonts w:ascii="Times" w:hAnsi="Times" w:cs="Times New Roman"/>
          <w:color w:val="000000"/>
          <w:lang w:val="en-US"/>
        </w:rPr>
        <w:t xml:space="preserve"> Hoboken: John Wiley &amp; Sons Inc, 1958. https://doi.org/10.1037/10628-000.</w:t>
      </w:r>
    </w:p>
    <w:p w14:paraId="6F1998F9" w14:textId="77777777" w:rsidR="00704212" w:rsidRPr="005217E7" w:rsidRDefault="00704212" w:rsidP="00704212">
      <w:pPr>
        <w:pStyle w:val="Bibliography"/>
        <w:rPr>
          <w:rFonts w:ascii="Times" w:hAnsi="Times" w:cs="Times New Roman"/>
          <w:color w:val="000000"/>
          <w:lang w:val="en-US"/>
        </w:rPr>
      </w:pPr>
      <w:proofErr w:type="spellStart"/>
      <w:r w:rsidRPr="005217E7">
        <w:rPr>
          <w:rFonts w:ascii="Times" w:hAnsi="Times" w:cs="Times New Roman"/>
          <w:color w:val="000000"/>
          <w:lang w:val="en-US"/>
        </w:rPr>
        <w:t>Hoey</w:t>
      </w:r>
      <w:proofErr w:type="spellEnd"/>
      <w:r w:rsidRPr="005217E7">
        <w:rPr>
          <w:rFonts w:ascii="Times" w:hAnsi="Times" w:cs="Times New Roman"/>
          <w:color w:val="000000"/>
          <w:lang w:val="en-US"/>
        </w:rPr>
        <w:t xml:space="preserve">, Brian A. “Nationalism in Indonesia: Building Imagined and Intentional Communities through Transmigration.” </w:t>
      </w:r>
      <w:r w:rsidRPr="005217E7">
        <w:rPr>
          <w:rFonts w:ascii="Times" w:hAnsi="Times" w:cs="Times New Roman"/>
          <w:i/>
          <w:iCs/>
          <w:color w:val="000000"/>
          <w:lang w:val="en-US"/>
        </w:rPr>
        <w:t>Ethnology</w:t>
      </w:r>
      <w:r w:rsidRPr="005217E7">
        <w:rPr>
          <w:rFonts w:ascii="Times" w:hAnsi="Times" w:cs="Times New Roman"/>
          <w:color w:val="000000"/>
          <w:lang w:val="en-US"/>
        </w:rPr>
        <w:t xml:space="preserve"> 42, no. 2 (2003): 109–26. https://doi.org/10.2307/3773777.</w:t>
      </w:r>
    </w:p>
    <w:p w14:paraId="440E8450" w14:textId="77777777" w:rsidR="00704212" w:rsidRPr="005217E7" w:rsidRDefault="00704212" w:rsidP="00704212">
      <w:pPr>
        <w:pStyle w:val="Bibliography"/>
        <w:rPr>
          <w:rFonts w:ascii="Times" w:hAnsi="Times" w:cs="Times New Roman"/>
          <w:color w:val="000000"/>
          <w:lang w:val="en-US"/>
        </w:rPr>
      </w:pPr>
      <w:proofErr w:type="spellStart"/>
      <w:r w:rsidRPr="005217E7">
        <w:rPr>
          <w:rFonts w:ascii="Times" w:hAnsi="Times" w:cs="Times New Roman"/>
          <w:color w:val="000000"/>
          <w:lang w:val="en-US"/>
        </w:rPr>
        <w:t>Suratman</w:t>
      </w:r>
      <w:proofErr w:type="spellEnd"/>
      <w:r w:rsidRPr="005217E7">
        <w:rPr>
          <w:rFonts w:ascii="Times" w:hAnsi="Times" w:cs="Times New Roman"/>
          <w:color w:val="000000"/>
          <w:lang w:val="en-US"/>
        </w:rPr>
        <w:t xml:space="preserve">, and Patrick </w:t>
      </w:r>
      <w:proofErr w:type="spellStart"/>
      <w:r w:rsidRPr="005217E7">
        <w:rPr>
          <w:rFonts w:ascii="Times" w:hAnsi="Times" w:cs="Times New Roman"/>
          <w:color w:val="000000"/>
          <w:lang w:val="en-US"/>
        </w:rPr>
        <w:t>Guiness</w:t>
      </w:r>
      <w:proofErr w:type="spellEnd"/>
      <w:r w:rsidRPr="005217E7">
        <w:rPr>
          <w:rFonts w:ascii="Times" w:hAnsi="Times" w:cs="Times New Roman"/>
          <w:color w:val="000000"/>
          <w:lang w:val="en-US"/>
        </w:rPr>
        <w:t xml:space="preserve">. “The Changing Focus of Transmigration.” </w:t>
      </w:r>
      <w:r w:rsidRPr="005217E7">
        <w:rPr>
          <w:rFonts w:ascii="Times" w:hAnsi="Times" w:cs="Times New Roman"/>
          <w:i/>
          <w:iCs/>
          <w:color w:val="000000"/>
          <w:lang w:val="en-US"/>
        </w:rPr>
        <w:t>Bulletin of Indonesian Economic Studies</w:t>
      </w:r>
      <w:r w:rsidRPr="005217E7">
        <w:rPr>
          <w:rFonts w:ascii="Times" w:hAnsi="Times" w:cs="Times New Roman"/>
          <w:color w:val="000000"/>
          <w:lang w:val="en-US"/>
        </w:rPr>
        <w:t xml:space="preserve"> 13, no. 2 (July 1, 1977): 78–101. https://doi.org/10.1080/00074917712331333124.</w:t>
      </w:r>
    </w:p>
    <w:p w14:paraId="7BF6D4A4" w14:textId="77777777" w:rsidR="00704212" w:rsidRPr="005217E7" w:rsidRDefault="00704212" w:rsidP="00704212">
      <w:pPr>
        <w:pStyle w:val="Bibliography"/>
        <w:rPr>
          <w:rFonts w:ascii="Times" w:hAnsi="Times" w:cs="Times New Roman"/>
          <w:color w:val="000000"/>
          <w:lang w:val="en-US"/>
        </w:rPr>
      </w:pPr>
      <w:r w:rsidRPr="005217E7">
        <w:rPr>
          <w:rFonts w:ascii="Times" w:hAnsi="Times" w:cs="Times New Roman"/>
          <w:color w:val="000000"/>
          <w:lang w:val="en-US"/>
        </w:rPr>
        <w:t xml:space="preserve">William Ascher and Shane Barter. “State Accountability: Theory, Evasion, and Potential Remedies.” In </w:t>
      </w:r>
      <w:proofErr w:type="gramStart"/>
      <w:r w:rsidRPr="005217E7">
        <w:rPr>
          <w:rFonts w:ascii="Times" w:hAnsi="Times" w:cs="Times New Roman"/>
          <w:i/>
          <w:iCs/>
          <w:color w:val="000000"/>
          <w:lang w:val="en-US"/>
        </w:rPr>
        <w:t>On</w:t>
      </w:r>
      <w:proofErr w:type="gramEnd"/>
      <w:r w:rsidRPr="005217E7">
        <w:rPr>
          <w:rFonts w:ascii="Times" w:hAnsi="Times" w:cs="Times New Roman"/>
          <w:i/>
          <w:iCs/>
          <w:color w:val="000000"/>
          <w:lang w:val="en-US"/>
        </w:rPr>
        <w:t xml:space="preserve"> the Move: Why Mass Internal Migration Goes Wrong and What to Do about It</w:t>
      </w:r>
      <w:r w:rsidRPr="005217E7">
        <w:rPr>
          <w:rFonts w:ascii="Times" w:hAnsi="Times" w:cs="Times New Roman"/>
          <w:color w:val="000000"/>
          <w:lang w:val="en-US"/>
        </w:rPr>
        <w:t>, 2019.</w:t>
      </w:r>
    </w:p>
    <w:p w14:paraId="1B02BF8F" w14:textId="4A551CE2" w:rsidR="00704212" w:rsidRDefault="00704212" w:rsidP="00704212">
      <w:pPr>
        <w:spacing w:line="480" w:lineRule="auto"/>
        <w:ind w:firstLine="720"/>
        <w:jc w:val="both"/>
        <w:rPr>
          <w:rFonts w:ascii="Times New Roman" w:eastAsia="Times New Roman" w:hAnsi="Times New Roman" w:cs="Times New Roman"/>
          <w:color w:val="333333"/>
          <w:shd w:val="clear" w:color="auto" w:fill="FFFFFF"/>
          <w:lang w:val="en-US"/>
        </w:rPr>
      </w:pPr>
      <w:r w:rsidRPr="005217E7">
        <w:rPr>
          <w:rFonts w:ascii="Times" w:eastAsia="Times New Roman" w:hAnsi="Times" w:cs="Times New Roman"/>
          <w:color w:val="333333"/>
          <w:shd w:val="clear" w:color="auto" w:fill="FFFFFF"/>
          <w:lang w:val="en-US"/>
        </w:rPr>
        <w:fldChar w:fldCharType="end"/>
      </w:r>
    </w:p>
    <w:p w14:paraId="3808B020" w14:textId="77777777" w:rsidR="00241D7D" w:rsidRDefault="00241D7D" w:rsidP="00241D7D">
      <w:pPr>
        <w:ind w:firstLine="720"/>
        <w:jc w:val="both"/>
        <w:rPr>
          <w:rFonts w:ascii="Times New Roman" w:eastAsia="Times New Roman" w:hAnsi="Times New Roman" w:cs="Times New Roman"/>
          <w:color w:val="333333"/>
          <w:shd w:val="clear" w:color="auto" w:fill="FFFFFF"/>
          <w:lang w:val="en-US"/>
        </w:rPr>
      </w:pPr>
    </w:p>
    <w:p w14:paraId="0DDC1326" w14:textId="77777777" w:rsidR="00241D7D" w:rsidRPr="0039360D" w:rsidRDefault="00241D7D" w:rsidP="000A47EC">
      <w:pPr>
        <w:ind w:firstLine="720"/>
        <w:jc w:val="both"/>
        <w:rPr>
          <w:rFonts w:ascii="Times New Roman" w:eastAsia="Times New Roman" w:hAnsi="Times New Roman" w:cs="Times New Roman"/>
          <w:color w:val="333333"/>
          <w:shd w:val="clear" w:color="auto" w:fill="FFFFFF"/>
          <w:lang w:val="en-US"/>
        </w:rPr>
      </w:pPr>
    </w:p>
    <w:sectPr w:rsidR="00241D7D" w:rsidRPr="0039360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971BA8" w14:textId="77777777" w:rsidR="00B56EB8" w:rsidRDefault="00B56EB8" w:rsidP="006B07E6">
      <w:r>
        <w:separator/>
      </w:r>
    </w:p>
  </w:endnote>
  <w:endnote w:type="continuationSeparator" w:id="0">
    <w:p w14:paraId="74CB82C8" w14:textId="77777777" w:rsidR="00B56EB8" w:rsidRDefault="00B56EB8" w:rsidP="006B07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imes">
    <w:altName w:val="﷽﷽﷽﷽﷽﷽"/>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C8CBB6" w14:textId="77777777" w:rsidR="00B56EB8" w:rsidRDefault="00B56EB8" w:rsidP="006B07E6">
      <w:r>
        <w:separator/>
      </w:r>
    </w:p>
  </w:footnote>
  <w:footnote w:type="continuationSeparator" w:id="0">
    <w:p w14:paraId="5A0F732F" w14:textId="77777777" w:rsidR="00B56EB8" w:rsidRDefault="00B56EB8" w:rsidP="006B07E6">
      <w:r>
        <w:continuationSeparator/>
      </w:r>
    </w:p>
  </w:footnote>
  <w:footnote w:id="1">
    <w:p w14:paraId="4DD0FB97" w14:textId="06DEA2C7" w:rsidR="00BE49E3" w:rsidRPr="00241D7D" w:rsidRDefault="00BE49E3">
      <w:pPr>
        <w:pStyle w:val="FootnoteText"/>
        <w:rPr>
          <w:rFonts w:ascii="Times" w:hAnsi="Times"/>
          <w:lang w:val="en-US"/>
        </w:rPr>
      </w:pPr>
      <w:r w:rsidRPr="00241D7D">
        <w:rPr>
          <w:rStyle w:val="FootnoteReference"/>
          <w:rFonts w:ascii="Times" w:hAnsi="Times"/>
        </w:rPr>
        <w:footnoteRef/>
      </w:r>
      <w:r w:rsidRPr="00241D7D">
        <w:rPr>
          <w:rFonts w:ascii="Times" w:hAnsi="Times"/>
        </w:rPr>
        <w:t xml:space="preserve"> </w:t>
      </w:r>
      <w:r w:rsidRPr="00241D7D">
        <w:rPr>
          <w:rFonts w:ascii="Times" w:hAnsi="Times"/>
        </w:rPr>
        <w:fldChar w:fldCharType="begin"/>
      </w:r>
      <w:r w:rsidRPr="00241D7D">
        <w:rPr>
          <w:rFonts w:ascii="Times" w:hAnsi="Times"/>
        </w:rPr>
        <w:instrText xml:space="preserve"> ADDIN ZOTERO_ITEM CSL_CITATION {"citationID":"XbMuK1Bx","properties":{"formattedCitation":"Philip M. Fearnside, \\uc0\\u8220{}Transmigration in Indonesia: Lessons from Its Environmental and Social Impacts,\\uc0\\u8221{} {\\i{}Environmental Management} 21, no. 4 (July 1, 1997): 553\\uc0\\u8211{}70, https://doi.org/10.1007/s002679900049.","plainCitation":"Philip M. Fearnside, “Transmigration in Indonesia: Lessons from Its Environmental and Social Impacts,” Environmental Management 21, no. 4 (July 1, 1997): 553–70, https://doi.org/10.1007/s002679900049.","noteIndex":1},"citationItems":[{"id":55,"uris":["http://zotero.org/users/local/PjfsGtSD/items/PW2WSTGI"],"uri":["http://zotero.org/users/local/PjfsGtSD/items/PW2WSTGI"],"itemData":{"id":55,"type":"article-journal","container-title":"Environmental Management","DOI":"10.1007/s002679900049","ISSN":"1432-1009","issue":"4","journalAbbreviation":"Environmental Management","language":"en","page":"553-570","source":"Springer Link","title":"Transmigration in Indonesia: Lessons from Its Environmental and Social Impacts","title-short":"Transmigration in Indonesia","volume":"21","author":[{"family":"Fearnside","given":"Philip M."}],"issued":{"date-parts":[["1997",7,1]]}}}],"schema":"https://github.com/citation-style-language/schema/raw/master/csl-citation.json"} </w:instrText>
      </w:r>
      <w:r w:rsidRPr="00241D7D">
        <w:rPr>
          <w:rFonts w:ascii="Times" w:hAnsi="Times"/>
        </w:rPr>
        <w:fldChar w:fldCharType="separate"/>
      </w:r>
      <w:r w:rsidRPr="00241D7D">
        <w:rPr>
          <w:rFonts w:ascii="Times" w:hAnsi="Times" w:cs="Times New Roman"/>
          <w:lang w:val="en-US"/>
        </w:rPr>
        <w:t xml:space="preserve">Philip M. Fearnside, “Transmigration in Indonesia: Lessons from Its Environmental and Social Impacts,” </w:t>
      </w:r>
      <w:r w:rsidRPr="00241D7D">
        <w:rPr>
          <w:rFonts w:ascii="Times" w:hAnsi="Times" w:cs="Times New Roman"/>
          <w:i/>
          <w:iCs/>
          <w:lang w:val="en-US"/>
        </w:rPr>
        <w:t>Environmental Management</w:t>
      </w:r>
      <w:r w:rsidRPr="00241D7D">
        <w:rPr>
          <w:rFonts w:ascii="Times" w:hAnsi="Times" w:cs="Times New Roman"/>
          <w:lang w:val="en-US"/>
        </w:rPr>
        <w:t xml:space="preserve"> 21, no. 4 (July 1, 1997): 553–70, https://doi.org/10.1007/s002679900049.</w:t>
      </w:r>
      <w:r w:rsidRPr="00241D7D">
        <w:rPr>
          <w:rFonts w:ascii="Times" w:hAnsi="Times"/>
        </w:rPr>
        <w:fldChar w:fldCharType="end"/>
      </w:r>
    </w:p>
  </w:footnote>
  <w:footnote w:id="2">
    <w:p w14:paraId="2D49DEDE" w14:textId="2FFDC508" w:rsidR="00B842FA" w:rsidRPr="00B842FA" w:rsidRDefault="00B842FA">
      <w:pPr>
        <w:pStyle w:val="FootnoteText"/>
        <w:rPr>
          <w:lang w:val="en-US"/>
        </w:rPr>
      </w:pPr>
      <w:r w:rsidRPr="00241D7D">
        <w:rPr>
          <w:rStyle w:val="FootnoteReference"/>
          <w:rFonts w:ascii="Times" w:hAnsi="Times"/>
        </w:rPr>
        <w:footnoteRef/>
      </w:r>
      <w:r w:rsidRPr="00241D7D">
        <w:rPr>
          <w:rFonts w:ascii="Times" w:hAnsi="Times"/>
        </w:rPr>
        <w:t xml:space="preserve"> </w:t>
      </w:r>
      <w:r w:rsidRPr="00241D7D">
        <w:rPr>
          <w:rFonts w:ascii="Times" w:hAnsi="Times"/>
        </w:rPr>
        <w:fldChar w:fldCharType="begin"/>
      </w:r>
      <w:r w:rsidRPr="00241D7D">
        <w:rPr>
          <w:rFonts w:ascii="Times" w:hAnsi="Times"/>
        </w:rPr>
        <w:instrText xml:space="preserve"> ADDIN ZOTERO_ITEM CSL_CITATION {"citationID":"rTMnjmTf","properties":{"formattedCitation":"Brian A. Hoey, \\uc0\\u8220{}Nationalism in Indonesia: Building Imagined and Intentional Communities through Transmigration,\\uc0\\u8221{} {\\i{}Ethnology} 42, no. 2 (2003): 109\\uc0\\u8211{}26, https://doi.org/10.2307/3773777.","plainCitation":"Brian A. Hoey, “Nationalism in Indonesia: Building Imagined and Intentional Communities through Transmigration,” Ethnology 42, no. 2 (2003): 109–26, https://doi.org/10.2307/3773777.","noteIndex":2},"citationItems":[{"id":56,"uris":["http://zotero.org/users/local/PjfsGtSD/items/4ACMR9YA"],"uri":["http://zotero.org/users/local/PjfsGtSD/items/4ACMR9YA"],"itemData":{"id":56,"type":"article-journal","abstract":"Transmigration settlements are planned according to Indonesian government priorities, which intend them to help build an imagined community, a unified nation. They are also places where settlers struggle to build their own vision of community as a place where they feel they belong. This article introduces the history of the Indonesian program and the place of Sulawesi transmigration settlements in nation-building.","container-title":"Ethnology","DOI":"10.2307/3773777","ISSN":"0014-1828","issue":"2","note":"publisher: University of Pittsburgh- Of the Commonwealth System of Higher Education","page":"109-126","source":"JSTOR","title":"Nationalism in Indonesia: Building Imagined and Intentional Communities through Transmigration","title-short":"Nationalism in Indonesia","volume":"42","author":[{"family":"Hoey","given":"Brian A."}],"issued":{"date-parts":[["2003"]]}}}],"schema":"https://github.com/citation-style-language/schema/raw/master/csl-citation.json"} </w:instrText>
      </w:r>
      <w:r w:rsidRPr="00241D7D">
        <w:rPr>
          <w:rFonts w:ascii="Times" w:hAnsi="Times"/>
        </w:rPr>
        <w:fldChar w:fldCharType="separate"/>
      </w:r>
      <w:r w:rsidRPr="00241D7D">
        <w:rPr>
          <w:rFonts w:ascii="Times" w:hAnsi="Times" w:cs="Times New Roman"/>
          <w:lang w:val="en-US"/>
        </w:rPr>
        <w:t xml:space="preserve">Brian A. Hoey, “Nationalism in Indonesia: Building Imagined and Intentional Communities through Transmigration,” </w:t>
      </w:r>
      <w:r w:rsidRPr="00241D7D">
        <w:rPr>
          <w:rFonts w:ascii="Times" w:hAnsi="Times" w:cs="Times New Roman"/>
          <w:i/>
          <w:iCs/>
          <w:lang w:val="en-US"/>
        </w:rPr>
        <w:t>Ethnology</w:t>
      </w:r>
      <w:r w:rsidRPr="00241D7D">
        <w:rPr>
          <w:rFonts w:ascii="Times" w:hAnsi="Times" w:cs="Times New Roman"/>
          <w:lang w:val="en-US"/>
        </w:rPr>
        <w:t xml:space="preserve"> 42, no. 2 (2003): 109–26, https://doi.org/10.2307/3773777.</w:t>
      </w:r>
      <w:r w:rsidRPr="00241D7D">
        <w:rPr>
          <w:rFonts w:ascii="Times" w:hAnsi="Times"/>
        </w:rPr>
        <w:fldChar w:fldCharType="end"/>
      </w:r>
    </w:p>
  </w:footnote>
  <w:footnote w:id="3">
    <w:p w14:paraId="1E41646B" w14:textId="5F4C8270" w:rsidR="00B842FA" w:rsidRPr="00241D7D" w:rsidRDefault="00B842FA">
      <w:pPr>
        <w:pStyle w:val="FootnoteText"/>
        <w:rPr>
          <w:rFonts w:ascii="Times" w:hAnsi="Times"/>
          <w:lang w:val="en-US"/>
        </w:rPr>
      </w:pPr>
      <w:r>
        <w:rPr>
          <w:rStyle w:val="FootnoteReference"/>
        </w:rPr>
        <w:footnoteRef/>
      </w:r>
      <w:r>
        <w:t xml:space="preserve"> </w:t>
      </w:r>
      <w:r w:rsidRPr="00241D7D">
        <w:rPr>
          <w:rFonts w:ascii="Times" w:hAnsi="Times"/>
        </w:rPr>
        <w:fldChar w:fldCharType="begin"/>
      </w:r>
      <w:r w:rsidRPr="00241D7D">
        <w:rPr>
          <w:rFonts w:ascii="Times" w:hAnsi="Times"/>
        </w:rPr>
        <w:instrText xml:space="preserve"> ADDIN ZOTERO_ITEM CSL_CITATION {"citationID":"8glBOzPD","properties":{"formattedCitation":"Fearnside, \\uc0\\u8220{}Transmigration in Indonesia.\\uc0\\u8221{}","plainCitation":"Fearnside, “Transmigration in Indonesia.”","noteIndex":3},"citationItems":[{"id":55,"uris":["http://zotero.org/users/local/PjfsGtSD/items/PW2WSTGI"],"uri":["http://zotero.org/users/local/PjfsGtSD/items/PW2WSTGI"],"itemData":{"id":55,"type":"article-journal","container-title":"Environmental Management","DOI":"10.1007/s002679900049","ISSN":"1432-1009","issue":"4","journalAbbreviation":"Environmental Management","language":"en","page":"553-570","source":"Springer Link","title":"Transmigration in Indonesia: Lessons from Its Environmental and Social Impacts","title-short":"Transmigration in Indonesia","volume":"21","author":[{"family":"Fearnside","given":"Philip M."}],"issued":{"date-parts":[["1997",7,1]]}}}],"schema":"https://github.com/citation-style-language/schema/raw/master/csl-citation.json"} </w:instrText>
      </w:r>
      <w:r w:rsidRPr="00241D7D">
        <w:rPr>
          <w:rFonts w:ascii="Times" w:hAnsi="Times"/>
        </w:rPr>
        <w:fldChar w:fldCharType="separate"/>
      </w:r>
      <w:r w:rsidRPr="00241D7D">
        <w:rPr>
          <w:rFonts w:ascii="Times" w:hAnsi="Times" w:cs="Times New Roman"/>
          <w:lang w:val="en-US"/>
        </w:rPr>
        <w:t>Fearnside, “Transmigration in Indonesia.”</w:t>
      </w:r>
      <w:r w:rsidRPr="00241D7D">
        <w:rPr>
          <w:rFonts w:ascii="Times" w:hAnsi="Times"/>
        </w:rPr>
        <w:fldChar w:fldCharType="end"/>
      </w:r>
    </w:p>
  </w:footnote>
  <w:footnote w:id="4">
    <w:p w14:paraId="2C315941" w14:textId="77319451" w:rsidR="00015234" w:rsidRPr="00241D7D" w:rsidRDefault="00015234">
      <w:pPr>
        <w:pStyle w:val="FootnoteText"/>
        <w:rPr>
          <w:rFonts w:ascii="Times" w:hAnsi="Times"/>
          <w:lang w:val="en-US"/>
        </w:rPr>
      </w:pPr>
      <w:r w:rsidRPr="00241D7D">
        <w:rPr>
          <w:rStyle w:val="FootnoteReference"/>
          <w:rFonts w:ascii="Times" w:hAnsi="Times"/>
        </w:rPr>
        <w:footnoteRef/>
      </w:r>
      <w:r w:rsidRPr="00241D7D">
        <w:rPr>
          <w:rFonts w:ascii="Times" w:hAnsi="Times"/>
        </w:rPr>
        <w:t xml:space="preserve"> </w:t>
      </w:r>
      <w:r w:rsidRPr="00241D7D">
        <w:rPr>
          <w:rFonts w:ascii="Times" w:hAnsi="Times"/>
        </w:rPr>
        <w:fldChar w:fldCharType="begin"/>
      </w:r>
      <w:r w:rsidRPr="00241D7D">
        <w:rPr>
          <w:rFonts w:ascii="Times" w:hAnsi="Times"/>
        </w:rPr>
        <w:instrText xml:space="preserve"> ADDIN ZOTERO_ITEM CSL_CITATION {"citationID":"wBpSm4vU","properties":{"formattedCitation":"Suratman and Patrick Guiness, \\uc0\\u8220{}The Changing Focus of Transmigration,\\uc0\\u8221{} {\\i{}Bulletin of Indonesian Economic Studies} 13, no. 2 (July 1, 1977): 78\\uc0\\u8211{}101, https://doi.org/10.1080/00074917712331333124.","plainCitation":"Suratman and Patrick Guiness, “The Changing Focus of Transmigration,” Bulletin of Indonesian Economic Studies 13, no. 2 (July 1, 1977): 78–101, https://doi.org/10.1080/00074917712331333124.","noteIndex":4},"citationItems":[{"id":60,"uris":["http://zotero.org/users/local/PjfsGtSD/items/WTS9P475"],"uri":["http://zotero.org/users/local/PjfsGtSD/items/WTS9P475"],"itemData":{"id":60,"type":"article-journal","container-title":"Bulletin of Indonesian Economic Studies","DOI":"10.1080/00074917712331333124","ISSN":"0007-4918","issue":"2","note":"publisher: Routledge\n_eprint: https://doi.org/10.1080/00074917712331333124\nPMID: 12337350","page":"78-101","source":"Taylor and Francis+NEJM","title":"The Changing Focus of Transmigration","volume":"13","author":[{"literal":"Suratman"},{"family":"Guiness","given":"Patrick"}],"issued":{"date-parts":[["1977",7,1]]}}}],"schema":"https://github.com/citation-style-language/schema/raw/master/csl-citation.json"} </w:instrText>
      </w:r>
      <w:r w:rsidRPr="00241D7D">
        <w:rPr>
          <w:rFonts w:ascii="Times" w:hAnsi="Times"/>
        </w:rPr>
        <w:fldChar w:fldCharType="separate"/>
      </w:r>
      <w:r w:rsidRPr="00241D7D">
        <w:rPr>
          <w:rFonts w:ascii="Times" w:hAnsi="Times" w:cs="Times New Roman"/>
          <w:lang w:val="en-US"/>
        </w:rPr>
        <w:t xml:space="preserve">Suratman and Patrick Guiness, “The Changing Focus of Transmigration,” </w:t>
      </w:r>
      <w:r w:rsidRPr="00241D7D">
        <w:rPr>
          <w:rFonts w:ascii="Times" w:hAnsi="Times" w:cs="Times New Roman"/>
          <w:i/>
          <w:iCs/>
          <w:lang w:val="en-US"/>
        </w:rPr>
        <w:t>Bulletin of Indonesian Economic Studies</w:t>
      </w:r>
      <w:r w:rsidRPr="00241D7D">
        <w:rPr>
          <w:rFonts w:ascii="Times" w:hAnsi="Times" w:cs="Times New Roman"/>
          <w:lang w:val="en-US"/>
        </w:rPr>
        <w:t xml:space="preserve"> 13, no. 2 (July 1, 1977): 78–101, https://doi.org/10.1080/00074917712331333124.</w:t>
      </w:r>
      <w:r w:rsidRPr="00241D7D">
        <w:rPr>
          <w:rFonts w:ascii="Times" w:hAnsi="Times"/>
        </w:rPr>
        <w:fldChar w:fldCharType="end"/>
      </w:r>
      <w:r w:rsidRPr="00241D7D">
        <w:rPr>
          <w:rFonts w:ascii="Times" w:hAnsi="Times"/>
          <w:lang w:val="en-US"/>
        </w:rPr>
        <w:t xml:space="preserve"> P. 85</w:t>
      </w:r>
    </w:p>
  </w:footnote>
  <w:footnote w:id="5">
    <w:p w14:paraId="12DF5A99" w14:textId="6726C948" w:rsidR="000A47EC" w:rsidRPr="00241D7D" w:rsidRDefault="000A47EC">
      <w:pPr>
        <w:pStyle w:val="FootnoteText"/>
        <w:rPr>
          <w:rFonts w:ascii="Times" w:hAnsi="Times"/>
          <w:lang w:val="en-US"/>
        </w:rPr>
      </w:pPr>
      <w:r w:rsidRPr="00241D7D">
        <w:rPr>
          <w:rStyle w:val="FootnoteReference"/>
          <w:rFonts w:ascii="Times" w:hAnsi="Times"/>
        </w:rPr>
        <w:footnoteRef/>
      </w:r>
      <w:r w:rsidRPr="00241D7D">
        <w:rPr>
          <w:rFonts w:ascii="Times" w:hAnsi="Times"/>
        </w:rPr>
        <w:t xml:space="preserve"> </w:t>
      </w:r>
      <w:r w:rsidRPr="00241D7D">
        <w:rPr>
          <w:rFonts w:ascii="Times" w:hAnsi="Times"/>
        </w:rPr>
        <w:fldChar w:fldCharType="begin"/>
      </w:r>
      <w:r w:rsidRPr="00241D7D">
        <w:rPr>
          <w:rFonts w:ascii="Times" w:hAnsi="Times"/>
        </w:rPr>
        <w:instrText xml:space="preserve"> ADDIN ZOTERO_ITEM CSL_CITATION {"citationID":"ID0T7H7T","properties":{"formattedCitation":"Nishara Fernando, \\uc0\\u8220{}Voluntary or Involuntary Relocation of Underserved Settlers in the City of Colombo as a Flood Risk Reduction Strategy: A Case Study of Three Relocation Projects,\\uc0\\u8221{} {\\i{}Procedia Engineering} 212 (2018): 1026\\uc0\\u8211{}33, https://doi.org/10.1016/j.proeng.2018.01.132.","plainCitation":"Nishara Fernando, “Voluntary or Involuntary Relocation of Underserved Settlers in the City of Colombo as a Flood Risk Reduction Strategy: A Case Study of Three Relocation Projects,” Procedia Engineering 212 (2018): 1026–33, https://doi.org/10.1016/j.proeng.2018.01.132.","noteIndex":5},"citationItems":[{"id":62,"uris":["http://zotero.org/users/local/PjfsGtSD/items/QMHP22XN"],"uri":["http://zotero.org/users/local/PjfsGtSD/items/QMHP22XN"],"itemData":{"id":62,"type":"article-journal","container-title":"Procedia Engineering","DOI":"10.1016/j.proeng.2018.01.132","ISSN":"18777058","journalAbbreviation":"Procedia Engineering","language":"en","page":"1026-1033","source":"DOI.org (Crossref)","title":"Voluntary or involuntary relocation of underserved settlers in the city of Colombo as a Flood Risk Reduction Strategy: A Case Study of Three Relocation Projects","title-short":"Voluntary or involuntary relocation of underserved settlers in the city of Colombo as a Flood Risk Reduction Strategy","volume":"212","author":[{"family":"Fernando","given":"Nishara"}],"issued":{"date-parts":[["2018"]]}}}],"schema":"https://github.com/citation-style-language/schema/raw/master/csl-citation.json"} </w:instrText>
      </w:r>
      <w:r w:rsidRPr="00241D7D">
        <w:rPr>
          <w:rFonts w:ascii="Times" w:hAnsi="Times"/>
        </w:rPr>
        <w:fldChar w:fldCharType="separate"/>
      </w:r>
      <w:r w:rsidRPr="00241D7D">
        <w:rPr>
          <w:rFonts w:ascii="Times" w:hAnsi="Times" w:cs="Times New Roman"/>
          <w:lang w:val="en-US"/>
        </w:rPr>
        <w:t xml:space="preserve">Nishara Fernando, “Voluntary or Involuntary Relocation of Underserved Settlers in the City of Colombo as a Flood Risk Reduction Strategy: A Case Study of Three Relocation Projects,” </w:t>
      </w:r>
      <w:r w:rsidRPr="00241D7D">
        <w:rPr>
          <w:rFonts w:ascii="Times" w:hAnsi="Times" w:cs="Times New Roman"/>
          <w:i/>
          <w:iCs/>
          <w:lang w:val="en-US"/>
        </w:rPr>
        <w:t>Procedia Engineering</w:t>
      </w:r>
      <w:r w:rsidRPr="00241D7D">
        <w:rPr>
          <w:rFonts w:ascii="Times" w:hAnsi="Times" w:cs="Times New Roman"/>
          <w:lang w:val="en-US"/>
        </w:rPr>
        <w:t xml:space="preserve"> 212 (2018): 1026–33, https://doi.org/10.1016/j.proeng.2018.01.132.</w:t>
      </w:r>
      <w:r w:rsidRPr="00241D7D">
        <w:rPr>
          <w:rFonts w:ascii="Times" w:hAnsi="Times"/>
        </w:rPr>
        <w:fldChar w:fldCharType="end"/>
      </w:r>
    </w:p>
  </w:footnote>
  <w:footnote w:id="6">
    <w:p w14:paraId="1CF8219D" w14:textId="4A5CB678" w:rsidR="000A47EC" w:rsidRPr="000A47EC" w:rsidRDefault="000A47EC">
      <w:pPr>
        <w:pStyle w:val="FootnoteText"/>
        <w:rPr>
          <w:lang w:val="en-US"/>
        </w:rPr>
      </w:pPr>
      <w:r w:rsidRPr="00241D7D">
        <w:rPr>
          <w:rStyle w:val="FootnoteReference"/>
          <w:rFonts w:ascii="Times" w:hAnsi="Times"/>
        </w:rPr>
        <w:footnoteRef/>
      </w:r>
      <w:r w:rsidRPr="00241D7D">
        <w:rPr>
          <w:rFonts w:ascii="Times" w:hAnsi="Times"/>
        </w:rPr>
        <w:t xml:space="preserve"> </w:t>
      </w:r>
      <w:r w:rsidRPr="00241D7D">
        <w:rPr>
          <w:rFonts w:ascii="Times" w:hAnsi="Times"/>
        </w:rPr>
        <w:fldChar w:fldCharType="begin"/>
      </w:r>
      <w:r w:rsidRPr="00241D7D">
        <w:rPr>
          <w:rFonts w:ascii="Times" w:hAnsi="Times"/>
        </w:rPr>
        <w:instrText xml:space="preserve"> ADDIN ZOTERO_ITEM CSL_CITATION {"citationID":"lgVCexSn","properties":{"formattedCitation":"Ranjit Dwivedi, \\uc0\\u8220{}Displacement, Risks and Resistance: Local Perceptions and Actions in the Sardar Sarovar,\\uc0\\u8221{} {\\i{}Development and Change} 30, no. 1 (January 1999): 43\\uc0\\u8211{}78, https://doi.org/10.1111/1467-7660.00107.","plainCitation":"Ranjit Dwivedi, “Displacement, Risks and Resistance: Local Perceptions and Actions in the Sardar Sarovar,” Development and Change 30, no. 1 (January 1999): 43–78, https://doi.org/10.1111/1467-7660.00107.","noteIndex":6},"citationItems":[{"id":63,"uris":["http://zotero.org/users/local/PjfsGtSD/items/75NIXAHQ"],"uri":["http://zotero.org/users/local/PjfsGtSD/items/75NIXAHQ"],"itemData":{"id":63,"type":"article-journal","container-title":"Development and Change","DOI":"10.1111/1467-7660.00107","ISSN":"0012-155X, 1467-7660","issue":"1","journalAbbreviation":"Development &amp; Change","language":"en","page":"43-78","source":"DOI.org (Crossref)","title":"Displacement, Risks and Resistance: Local Perceptions and Actions in the Sardar Sarovar","title-short":"Displacement, Risks and Resistance","volume":"30","author":[{"family":"Dwivedi","given":"Ranjit"}],"issued":{"date-parts":[["1999",1]]}}}],"schema":"https://github.com/citation-style-language/schema/raw/master/csl-citation.json"} </w:instrText>
      </w:r>
      <w:r w:rsidRPr="00241D7D">
        <w:rPr>
          <w:rFonts w:ascii="Times" w:hAnsi="Times"/>
        </w:rPr>
        <w:fldChar w:fldCharType="separate"/>
      </w:r>
      <w:r w:rsidRPr="00241D7D">
        <w:rPr>
          <w:rFonts w:ascii="Times" w:hAnsi="Times" w:cs="Times New Roman"/>
          <w:lang w:val="en-US"/>
        </w:rPr>
        <w:t xml:space="preserve">Ranjit Dwivedi, “Displacement, Risks and Resistance: Local Perceptions and Actions in the Sardar Sarovar,” </w:t>
      </w:r>
      <w:r w:rsidRPr="00241D7D">
        <w:rPr>
          <w:rFonts w:ascii="Times" w:hAnsi="Times" w:cs="Times New Roman"/>
          <w:i/>
          <w:iCs/>
          <w:lang w:val="en-US"/>
        </w:rPr>
        <w:t>Development and Change</w:t>
      </w:r>
      <w:r w:rsidRPr="00241D7D">
        <w:rPr>
          <w:rFonts w:ascii="Times" w:hAnsi="Times" w:cs="Times New Roman"/>
          <w:lang w:val="en-US"/>
        </w:rPr>
        <w:t xml:space="preserve"> 30, no. 1 (January 1999): 43–78, https://doi.org/10.1111/1467-7660.00107.</w:t>
      </w:r>
      <w:r w:rsidRPr="00241D7D">
        <w:rPr>
          <w:rFonts w:ascii="Times" w:hAnsi="Times"/>
        </w:rPr>
        <w:fldChar w:fldCharType="end"/>
      </w:r>
    </w:p>
  </w:footnote>
  <w:footnote w:id="7">
    <w:p w14:paraId="4B5F5C5E" w14:textId="7044E6ED" w:rsidR="00704212" w:rsidRPr="00704212" w:rsidRDefault="00704212">
      <w:pPr>
        <w:pStyle w:val="FootnoteText"/>
        <w:rPr>
          <w:lang w:val="en-US"/>
        </w:rPr>
      </w:pPr>
      <w:r>
        <w:rPr>
          <w:rStyle w:val="FootnoteReference"/>
        </w:rPr>
        <w:footnoteRef/>
      </w:r>
      <w:r>
        <w:t xml:space="preserve"> </w:t>
      </w:r>
      <w:r>
        <w:fldChar w:fldCharType="begin"/>
      </w:r>
      <w:r>
        <w:instrText xml:space="preserve"> ADDIN ZOTERO_ITEM CSL_CITATION {"citationID":"M9X1izOu","properties":{"formattedCitation":"Fritz Heider, {\\i{}The Psychology of Interpersonal Relations.} (Hoboken: John Wiley &amp; Sons Inc, 1958), https://doi.org/10.1037/10628-000.","plainCitation":"Fritz Heider, The Psychology of Interpersonal Relations. (Hoboken: John Wiley &amp; Sons Inc, 1958), https://doi.org/10.1037/10628-000.","noteIndex":7},"citationItems":[{"id":66,"uris":["http://zotero.org/users/local/PjfsGtSD/items/JX4FCJJ6"],"uri":["http://zotero.org/users/local/PjfsGtSD/items/JX4FCJJ6"],"itemData":{"id":66,"type":"book","event-place":"Hoboken","language":"en","note":"DOI: 10.1037/10628-000","publisher":"John Wiley &amp; Sons Inc","publisher-place":"Hoboken","source":"DOI.org (Crossref)","title":"The psychology of interpersonal relations.","URL":"http://content.apa.org/books/10628-000","author":[{"family":"Heider","given":"Fritz"}],"accessed":{"date-parts":[["2021",4,18]]},"issued":{"date-parts":[["1958"]]}}}],"schema":"https://github.com/citation-style-language/schema/raw/master/csl-citation.json"} </w:instrText>
      </w:r>
      <w:r>
        <w:fldChar w:fldCharType="separate"/>
      </w:r>
      <w:r w:rsidRPr="00704212">
        <w:rPr>
          <w:rFonts w:ascii="Calibri" w:cs="Times New Roman"/>
          <w:lang w:val="en-US"/>
        </w:rPr>
        <w:t>F</w:t>
      </w:r>
      <w:r w:rsidRPr="005217E7">
        <w:rPr>
          <w:rFonts w:ascii="Times" w:hAnsi="Times" w:cs="Times New Roman"/>
          <w:lang w:val="en-US"/>
        </w:rPr>
        <w:t xml:space="preserve">ritz Heider, </w:t>
      </w:r>
      <w:r w:rsidRPr="005217E7">
        <w:rPr>
          <w:rFonts w:ascii="Times" w:hAnsi="Times" w:cs="Times New Roman"/>
          <w:i/>
          <w:iCs/>
          <w:lang w:val="en-US"/>
        </w:rPr>
        <w:t>The Psychology of Interpersonal Relations.</w:t>
      </w:r>
      <w:r w:rsidRPr="005217E7">
        <w:rPr>
          <w:rFonts w:ascii="Times" w:hAnsi="Times" w:cs="Times New Roman"/>
          <w:lang w:val="en-US"/>
        </w:rPr>
        <w:t xml:space="preserve"> (Hoboken: John Wiley &amp; Sons Inc, 1958), https://doi.org/10.1037/10628-000.</w:t>
      </w:r>
      <w:r>
        <w:fldChar w:fldCharType="end"/>
      </w:r>
    </w:p>
  </w:footnote>
  <w:footnote w:id="8">
    <w:p w14:paraId="4B6CEC5B" w14:textId="12CD6EFC" w:rsidR="00704212" w:rsidRPr="005217E7" w:rsidRDefault="00704212">
      <w:pPr>
        <w:pStyle w:val="FootnoteText"/>
        <w:rPr>
          <w:rFonts w:ascii="Times" w:hAnsi="Times"/>
          <w:lang w:val="en-US"/>
        </w:rPr>
      </w:pPr>
      <w:r w:rsidRPr="005217E7">
        <w:rPr>
          <w:rStyle w:val="FootnoteReference"/>
          <w:rFonts w:ascii="Times" w:hAnsi="Times"/>
        </w:rPr>
        <w:footnoteRef/>
      </w:r>
      <w:r w:rsidRPr="005217E7">
        <w:rPr>
          <w:rFonts w:ascii="Times" w:hAnsi="Times"/>
        </w:rPr>
        <w:t xml:space="preserve"> </w:t>
      </w:r>
      <w:r w:rsidRPr="005217E7">
        <w:rPr>
          <w:rFonts w:ascii="Times" w:hAnsi="Times"/>
        </w:rPr>
        <w:fldChar w:fldCharType="begin"/>
      </w:r>
      <w:r w:rsidRPr="005217E7">
        <w:rPr>
          <w:rFonts w:ascii="Times" w:hAnsi="Times"/>
        </w:rPr>
        <w:instrText xml:space="preserve"> ADDIN ZOTERO_ITEM CSL_CITATION {"citationID":"jrgpf6LS","properties":{"formattedCitation":"William Ascher and Shane Barter, \\uc0\\u8220{}State Accountability: Theory, Evasion, and Potential Remedies,\\uc0\\u8221{} in {\\i{}On the Move: Why Mass Internal Migration Goes Wrong and What to Do about It}, 2019.","plainCitation":"William Ascher and Shane Barter, “State Accountability: Theory, Evasion, and Potential Remedies,” in On the Move: Why Mass Internal Migration Goes Wrong and What to Do about It, 2019.","noteIndex":8},"citationItems":[{"id":67,"uris":["http://zotero.org/users/local/PjfsGtSD/items/XETJ84PL"],"uri":["http://zotero.org/users/local/PjfsGtSD/items/XETJ84PL"],"itemData":{"id":67,"type":"chapter","container-title":"On the move: Why mass internal migration goes wrong and what to do about it","title":"State Accountability: Theory, Evasion, and Potential Remedies","author":[{"literal":"William Ascher"},{"literal":"Shane Barter"}],"issued":{"date-parts":[["2019",12]]}}}],"schema":"https://github.com/citation-style-language/schema/raw/master/csl-citation.json"} </w:instrText>
      </w:r>
      <w:r w:rsidRPr="005217E7">
        <w:rPr>
          <w:rFonts w:ascii="Times" w:hAnsi="Times"/>
        </w:rPr>
        <w:fldChar w:fldCharType="separate"/>
      </w:r>
      <w:r w:rsidRPr="005217E7">
        <w:rPr>
          <w:rFonts w:ascii="Times" w:hAnsi="Times" w:cs="Times New Roman"/>
          <w:lang w:val="en-US"/>
        </w:rPr>
        <w:t xml:space="preserve">William Ascher and Shane Barter, “State Accountability: Theory, Evasion, and Potential Remedies,” in </w:t>
      </w:r>
      <w:r w:rsidRPr="005217E7">
        <w:rPr>
          <w:rFonts w:ascii="Times" w:hAnsi="Times" w:cs="Times New Roman"/>
          <w:i/>
          <w:iCs/>
          <w:lang w:val="en-US"/>
        </w:rPr>
        <w:t>On the Move: Why Mass Internal Migration Goes Wrong and What to Do about It</w:t>
      </w:r>
      <w:r w:rsidRPr="005217E7">
        <w:rPr>
          <w:rFonts w:ascii="Times" w:hAnsi="Times" w:cs="Times New Roman"/>
          <w:lang w:val="en-US"/>
        </w:rPr>
        <w:t>, 2019.</w:t>
      </w:r>
      <w:r w:rsidRPr="005217E7">
        <w:rPr>
          <w:rFonts w:ascii="Times" w:hAnsi="Times"/>
        </w:rPr>
        <w:fldChar w:fldCharType="end"/>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06D"/>
    <w:rsid w:val="00015234"/>
    <w:rsid w:val="00050103"/>
    <w:rsid w:val="000808A8"/>
    <w:rsid w:val="000A47EC"/>
    <w:rsid w:val="000D5D77"/>
    <w:rsid w:val="001B35A7"/>
    <w:rsid w:val="001D0461"/>
    <w:rsid w:val="00234B38"/>
    <w:rsid w:val="00241D7D"/>
    <w:rsid w:val="00285E56"/>
    <w:rsid w:val="002C4FB2"/>
    <w:rsid w:val="003238B5"/>
    <w:rsid w:val="00392CC5"/>
    <w:rsid w:val="0039360D"/>
    <w:rsid w:val="003C2A4F"/>
    <w:rsid w:val="00436E7B"/>
    <w:rsid w:val="00517C2A"/>
    <w:rsid w:val="005217E7"/>
    <w:rsid w:val="005243B4"/>
    <w:rsid w:val="005724FD"/>
    <w:rsid w:val="006B07E6"/>
    <w:rsid w:val="00704212"/>
    <w:rsid w:val="00714585"/>
    <w:rsid w:val="007B706D"/>
    <w:rsid w:val="007D6B44"/>
    <w:rsid w:val="00AF73D5"/>
    <w:rsid w:val="00B41AF2"/>
    <w:rsid w:val="00B56EB8"/>
    <w:rsid w:val="00B842FA"/>
    <w:rsid w:val="00BE49E3"/>
    <w:rsid w:val="00CF1E2E"/>
    <w:rsid w:val="00D043FC"/>
    <w:rsid w:val="00D45394"/>
    <w:rsid w:val="00D65E3C"/>
    <w:rsid w:val="00D76058"/>
    <w:rsid w:val="00E301EF"/>
    <w:rsid w:val="00E42E53"/>
    <w:rsid w:val="00F97D47"/>
    <w:rsid w:val="00FF503E"/>
  </w:rsids>
  <m:mathPr>
    <m:mathFont m:val="Cambria Math"/>
    <m:brkBin m:val="before"/>
    <m:brkBinSub m:val="--"/>
    <m:smallFrac m:val="0"/>
    <m:dispDef/>
    <m:lMargin m:val="0"/>
    <m:rMargin m:val="0"/>
    <m:defJc m:val="centerGroup"/>
    <m:wrapIndent m:val="1440"/>
    <m:intLim m:val="subSup"/>
    <m:naryLim m:val="undOvr"/>
  </m:mathPr>
  <w:themeFontLang w:val="en-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9A8C5"/>
  <w15:chartTrackingRefBased/>
  <w15:docId w15:val="{8AB08FDE-596B-A44B-B317-9A33D23FD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E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B706D"/>
    <w:rPr>
      <w:b/>
      <w:bCs/>
    </w:rPr>
  </w:style>
  <w:style w:type="paragraph" w:styleId="FootnoteText">
    <w:name w:val="footnote text"/>
    <w:basedOn w:val="Normal"/>
    <w:link w:val="FootnoteTextChar"/>
    <w:uiPriority w:val="99"/>
    <w:semiHidden/>
    <w:unhideWhenUsed/>
    <w:rsid w:val="006B07E6"/>
    <w:rPr>
      <w:sz w:val="20"/>
      <w:szCs w:val="20"/>
    </w:rPr>
  </w:style>
  <w:style w:type="character" w:customStyle="1" w:styleId="FootnoteTextChar">
    <w:name w:val="Footnote Text Char"/>
    <w:basedOn w:val="DefaultParagraphFont"/>
    <w:link w:val="FootnoteText"/>
    <w:uiPriority w:val="99"/>
    <w:semiHidden/>
    <w:rsid w:val="006B07E6"/>
    <w:rPr>
      <w:sz w:val="20"/>
      <w:szCs w:val="20"/>
    </w:rPr>
  </w:style>
  <w:style w:type="character" w:styleId="FootnoteReference">
    <w:name w:val="footnote reference"/>
    <w:basedOn w:val="DefaultParagraphFont"/>
    <w:uiPriority w:val="99"/>
    <w:semiHidden/>
    <w:unhideWhenUsed/>
    <w:rsid w:val="006B07E6"/>
    <w:rPr>
      <w:vertAlign w:val="superscript"/>
    </w:rPr>
  </w:style>
  <w:style w:type="paragraph" w:styleId="Bibliography">
    <w:name w:val="Bibliography"/>
    <w:basedOn w:val="Normal"/>
    <w:next w:val="Normal"/>
    <w:uiPriority w:val="37"/>
    <w:unhideWhenUsed/>
    <w:rsid w:val="00704212"/>
    <w:pPr>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4856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4579BA-8511-164D-A2B0-72DDFFBFC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1775</Words>
  <Characters>10124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Lohmus, Erik</dc:creator>
  <cp:keywords/>
  <dc:description/>
  <cp:lastModifiedBy>Lohmus, Erik</cp:lastModifiedBy>
  <cp:revision>2</cp:revision>
  <dcterms:created xsi:type="dcterms:W3CDTF">2021-04-19T01:37:00Z</dcterms:created>
  <dcterms:modified xsi:type="dcterms:W3CDTF">2021-04-19T01:37:00Z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zotero-version="5.0.96.1"&gt;&lt;session id="uqON1VAX"/&gt;&lt;style id="http://www.zotero.org/styles/chicago-fullnote-bibliography" locale="en-US" hasBibliography="1" bibliographyStyleHasBeenSet="1"/&gt;&lt;prefs&gt;&lt;pref name="fieldType" value="Field"</vt:lpwstr>
  </property>
  <property fmtid="{D5CDD505-2E9C-101B-9397-08002B2CF9AE}" pid="3" name="ZOTERO_PREF_2">
    <vt:lpwstr>/&gt;&lt;pref name="automaticJournalAbbreviations" value="true"/&gt;&lt;pref name="noteType" value="1"/&gt;&lt;/prefs&gt;&lt;/data&gt;</vt:lpwstr>
  </property>
</Properties>
</file>